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line="560" w:lineRule="exact"/>
        <w:jc w:val="center"/>
        <w:textAlignment w:val="bottom"/>
        <w:rPr>
          <w:rFonts w:ascii="黑体" w:hAnsi="黑体" w:eastAsia="黑体"/>
          <w:b/>
          <w:sz w:val="44"/>
          <w:szCs w:val="44"/>
        </w:rPr>
      </w:pPr>
    </w:p>
    <w:p>
      <w:pPr>
        <w:widowControl/>
        <w:autoSpaceDE w:val="0"/>
        <w:autoSpaceDN w:val="0"/>
        <w:spacing w:line="560" w:lineRule="exact"/>
        <w:jc w:val="center"/>
        <w:textAlignment w:val="bottom"/>
        <w:rPr>
          <w:rFonts w:ascii="黑体" w:hAnsi="黑体" w:eastAsia="黑体"/>
          <w:b/>
          <w:sz w:val="52"/>
          <w:szCs w:val="52"/>
        </w:rPr>
      </w:pPr>
    </w:p>
    <w:p>
      <w:pPr>
        <w:widowControl/>
        <w:autoSpaceDE w:val="0"/>
        <w:autoSpaceDN w:val="0"/>
        <w:spacing w:line="560" w:lineRule="exact"/>
        <w:jc w:val="center"/>
        <w:textAlignment w:val="bottom"/>
        <w:rPr>
          <w:rFonts w:ascii="黑体" w:hAnsi="黑体" w:eastAsia="黑体"/>
          <w:b/>
          <w:sz w:val="52"/>
          <w:szCs w:val="52"/>
        </w:rPr>
      </w:pPr>
    </w:p>
    <w:p>
      <w:pPr>
        <w:widowControl/>
        <w:autoSpaceDE w:val="0"/>
        <w:autoSpaceDN w:val="0"/>
        <w:spacing w:line="360" w:lineRule="auto"/>
        <w:jc w:val="center"/>
        <w:textAlignment w:val="bottom"/>
        <w:rPr>
          <w:rFonts w:ascii="黑体" w:hAnsi="黑体" w:eastAsia="黑体"/>
          <w:sz w:val="52"/>
          <w:szCs w:val="52"/>
        </w:rPr>
      </w:pPr>
      <w:r>
        <w:rPr>
          <w:rFonts w:hint="eastAsia" w:ascii="黑体" w:hAnsi="黑体" w:eastAsia="黑体"/>
          <w:b/>
          <w:sz w:val="52"/>
          <w:szCs w:val="52"/>
        </w:rPr>
        <w:t>杭州萧山国际机场T1T2T3航站楼漏水点专项维修项目</w:t>
      </w:r>
      <w:r>
        <w:rPr>
          <w:rFonts w:ascii="黑体" w:hAnsi="黑体" w:eastAsia="黑体"/>
          <w:b/>
          <w:sz w:val="52"/>
          <w:szCs w:val="52"/>
        </w:rPr>
        <w:t>招标文件</w:t>
      </w:r>
    </w:p>
    <w:p>
      <w:pPr>
        <w:widowControl/>
        <w:autoSpaceDE w:val="0"/>
        <w:autoSpaceDN w:val="0"/>
        <w:snapToGrid w:val="0"/>
        <w:spacing w:line="560" w:lineRule="exact"/>
        <w:jc w:val="center"/>
        <w:textAlignment w:val="bottom"/>
        <w:rPr>
          <w:rFonts w:ascii="宋体" w:hAnsi="宋体"/>
          <w:b/>
          <w:sz w:val="44"/>
          <w:szCs w:val="44"/>
        </w:rPr>
      </w:pP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textAlignment w:val="bottom"/>
        <w:rPr>
          <w:rFonts w:ascii="宋体" w:hAnsi="宋体"/>
          <w:bCs/>
          <w:sz w:val="32"/>
          <w:szCs w:val="32"/>
        </w:rPr>
      </w:pPr>
      <w:r>
        <w:rPr>
          <w:rFonts w:ascii="宋体" w:hAnsi="宋体"/>
          <w:b/>
          <w:sz w:val="32"/>
          <w:szCs w:val="32"/>
        </w:rPr>
        <w:t xml:space="preserve">   </w:t>
      </w:r>
      <w:r>
        <w:rPr>
          <w:rFonts w:hint="eastAsia" w:ascii="宋体" w:hAnsi="宋体"/>
          <w:b/>
          <w:sz w:val="32"/>
          <w:szCs w:val="32"/>
        </w:rPr>
        <w:t xml:space="preserve">                </w:t>
      </w:r>
      <w:r>
        <w:rPr>
          <w:rFonts w:ascii="宋体" w:hAnsi="宋体"/>
          <w:b/>
          <w:sz w:val="32"/>
          <w:szCs w:val="32"/>
        </w:rPr>
        <w:t xml:space="preserve">      </w:t>
      </w:r>
      <w:r>
        <w:rPr>
          <w:rFonts w:hint="eastAsia" w:ascii="宋体" w:hAnsi="宋体"/>
          <w:b/>
          <w:sz w:val="32"/>
          <w:szCs w:val="32"/>
        </w:rPr>
        <w:t xml:space="preserve">    </w:t>
      </w:r>
    </w:p>
    <w:p>
      <w:pPr>
        <w:widowControl/>
        <w:autoSpaceDE w:val="0"/>
        <w:autoSpaceDN w:val="0"/>
        <w:snapToGrid w:val="0"/>
        <w:spacing w:line="560" w:lineRule="exact"/>
        <w:textAlignment w:val="bottom"/>
        <w:rPr>
          <w:rFonts w:ascii="宋体" w:hAnsi="宋体"/>
          <w:b/>
          <w:sz w:val="32"/>
          <w:szCs w:val="32"/>
        </w:rPr>
      </w:pPr>
      <w:r>
        <w:rPr>
          <w:rFonts w:ascii="宋体" w:hAnsi="宋体"/>
          <w:bCs/>
          <w:sz w:val="32"/>
          <w:szCs w:val="32"/>
        </w:rPr>
        <w:t xml:space="preserve">                 </w:t>
      </w:r>
      <w:r>
        <w:rPr>
          <w:rFonts w:hint="eastAsia" w:ascii="宋体" w:hAnsi="宋体"/>
          <w:bCs/>
          <w:sz w:val="32"/>
          <w:szCs w:val="32"/>
        </w:rPr>
        <w:t xml:space="preserve">            </w:t>
      </w: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spacing w:line="560" w:lineRule="exact"/>
        <w:jc w:val="center"/>
        <w:rPr>
          <w:rFonts w:eastAsia="黑体" w:cs="Calibri"/>
          <w:sz w:val="32"/>
          <w:szCs w:val="32"/>
        </w:rPr>
      </w:pPr>
      <w:r>
        <w:rPr>
          <w:rFonts w:hint="eastAsia" w:eastAsia="黑体" w:cs="Calibri"/>
          <w:sz w:val="32"/>
          <w:szCs w:val="32"/>
        </w:rPr>
        <w:t>杭州萧山国际机场有限公司</w:t>
      </w:r>
    </w:p>
    <w:p>
      <w:pPr>
        <w:pStyle w:val="5"/>
        <w:spacing w:line="560" w:lineRule="exact"/>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二三年</w:t>
      </w:r>
      <w:r>
        <w:rPr>
          <w:rFonts w:hint="eastAsia" w:ascii="Calibri" w:hAnsi="Calibri" w:eastAsia="黑体" w:cs="Calibri"/>
          <w:sz w:val="32"/>
          <w:szCs w:val="32"/>
          <w:u w:val="single"/>
        </w:rPr>
        <w:t xml:space="preserve"> 七 </w:t>
      </w:r>
      <w:r>
        <w:rPr>
          <w:rFonts w:ascii="Calibri" w:hAnsi="Calibri" w:eastAsia="黑体" w:cs="Calibri"/>
          <w:sz w:val="32"/>
          <w:szCs w:val="32"/>
        </w:rPr>
        <w:t>月</w:t>
      </w:r>
    </w:p>
    <w:p>
      <w:pPr>
        <w:snapToGrid w:val="0"/>
        <w:spacing w:line="560" w:lineRule="exact"/>
        <w:jc w:val="center"/>
        <w:rPr>
          <w:rFonts w:ascii="宋体" w:hAnsi="宋体"/>
          <w:b/>
          <w:bCs/>
          <w:sz w:val="32"/>
          <w:szCs w:val="32"/>
        </w:rPr>
      </w:pPr>
    </w:p>
    <w:p>
      <w:pPr>
        <w:spacing w:line="560" w:lineRule="exact"/>
        <w:jc w:val="center"/>
        <w:rPr>
          <w:b/>
        </w:rPr>
      </w:pPr>
    </w:p>
    <w:p>
      <w:pPr>
        <w:spacing w:line="560" w:lineRule="exact"/>
        <w:jc w:val="center"/>
        <w:rPr>
          <w:b/>
          <w:bCs/>
          <w:sz w:val="44"/>
          <w:szCs w:val="44"/>
        </w:rPr>
        <w:sectPr>
          <w:headerReference r:id="rId3" w:type="default"/>
          <w:footerReference r:id="rId4" w:type="default"/>
          <w:footerReference r:id="rId5" w:type="even"/>
          <w:pgSz w:w="11907" w:h="16840"/>
          <w:pgMar w:top="1134" w:right="1134" w:bottom="1134" w:left="1134" w:header="567" w:footer="567" w:gutter="0"/>
          <w:pgNumType w:fmt="numberInDash" w:start="1"/>
          <w:cols w:space="720" w:num="1"/>
        </w:sectPr>
      </w:pPr>
    </w:p>
    <w:sdt>
      <w:sdtPr>
        <w:rPr>
          <w:rFonts w:ascii="宋体" w:hAnsi="宋体" w:eastAsia="宋体"/>
        </w:rPr>
        <w:id w:val="147480402"/>
        <w15:color w:val="DBDBDB"/>
      </w:sdtPr>
      <w:sdtEndPr>
        <w:rPr>
          <w:rFonts w:asciiTheme="minorHAnsi" w:hAnsiTheme="minorHAnsi" w:eastAsiaTheme="minorEastAsia"/>
          <w:bCs/>
          <w:sz w:val="28"/>
          <w:szCs w:val="28"/>
        </w:rPr>
      </w:sdtEndPr>
      <w:sdtContent>
        <w:p>
          <w:pPr>
            <w:spacing w:line="560" w:lineRule="exact"/>
            <w:jc w:val="center"/>
            <w:rPr>
              <w:rFonts w:ascii="仿宋_GB2312" w:hAnsi="仿宋_GB2312" w:eastAsia="仿宋_GB2312" w:cs="仿宋_GB2312"/>
              <w:sz w:val="36"/>
              <w:szCs w:val="40"/>
            </w:rPr>
          </w:pPr>
          <w:r>
            <w:rPr>
              <w:rFonts w:hint="eastAsia" w:ascii="仿宋_GB2312" w:hAnsi="仿宋_GB2312" w:eastAsia="仿宋_GB2312" w:cs="仿宋_GB2312"/>
              <w:sz w:val="44"/>
              <w:szCs w:val="44"/>
            </w:rPr>
            <w:t>目录</w:t>
          </w:r>
        </w:p>
        <w:p>
          <w:pPr>
            <w:pStyle w:val="8"/>
            <w:keepNext w:val="0"/>
            <w:keepLines w:val="0"/>
            <w:pageBreakBefore w:val="0"/>
            <w:widowControl w:val="0"/>
            <w:tabs>
              <w:tab w:val="right" w:leader="dot" w:pos="9629"/>
            </w:tabs>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28"/>
              <w:szCs w:val="28"/>
            </w:rPr>
            <w:fldChar w:fldCharType="begin"/>
          </w:r>
          <w:r>
            <w:rPr>
              <w:rFonts w:hint="eastAsia" w:ascii="仿宋_GB2312" w:hAnsi="仿宋_GB2312" w:eastAsia="仿宋_GB2312" w:cs="仿宋_GB2312"/>
              <w:b/>
              <w:bCs/>
              <w:sz w:val="28"/>
              <w:szCs w:val="28"/>
            </w:rPr>
            <w:instrText xml:space="preserve">TOC \o "1-3" \h \u </w:instrText>
          </w:r>
          <w:r>
            <w:rPr>
              <w:rFonts w:hint="eastAsia" w:ascii="仿宋_GB2312" w:hAnsi="仿宋_GB2312" w:eastAsia="仿宋_GB2312" w:cs="仿宋_GB2312"/>
              <w:b/>
              <w:bCs/>
              <w:sz w:val="28"/>
              <w:szCs w:val="28"/>
            </w:rPr>
            <w:fldChar w:fldCharType="separate"/>
          </w:r>
          <w:r>
            <w:rPr>
              <w:sz w:val="32"/>
              <w:szCs w:val="32"/>
            </w:rPr>
            <w:fldChar w:fldCharType="begin"/>
          </w:r>
          <w:r>
            <w:rPr>
              <w:sz w:val="32"/>
              <w:szCs w:val="32"/>
            </w:rPr>
            <w:instrText xml:space="preserve"> HYPERLINK \l "_Toc139785989" </w:instrText>
          </w:r>
          <w:r>
            <w:rPr>
              <w:sz w:val="32"/>
              <w:szCs w:val="32"/>
            </w:rPr>
            <w:fldChar w:fldCharType="separate"/>
          </w:r>
          <w:r>
            <w:rPr>
              <w:rFonts w:ascii="仿宋_GB2312" w:hAnsi="仿宋_GB2312" w:eastAsia="仿宋_GB2312" w:cs="仿宋_GB2312"/>
              <w:sz w:val="32"/>
              <w:szCs w:val="32"/>
            </w:rPr>
            <w:t>第一章 招标公告</w:t>
          </w:r>
          <w:r>
            <w:rPr>
              <w:rFonts w:ascii="仿宋_GB2312" w:hAnsi="仿宋_GB2312" w:eastAsia="仿宋_GB2312" w:cs="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_Toc139785989 \h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1</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8"/>
            <w:keepNext w:val="0"/>
            <w:keepLines w:val="0"/>
            <w:pageBreakBefore w:val="0"/>
            <w:widowControl w:val="0"/>
            <w:tabs>
              <w:tab w:val="right" w:leader="dot" w:pos="9629"/>
            </w:tabs>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ascii="仿宋_GB2312" w:hAnsi="仿宋_GB2312" w:eastAsia="仿宋_GB2312" w:cs="仿宋_GB2312"/>
              <w:sz w:val="32"/>
              <w:szCs w:val="32"/>
            </w:rPr>
          </w:pPr>
          <w:r>
            <w:rPr>
              <w:sz w:val="32"/>
              <w:szCs w:val="32"/>
            </w:rPr>
            <w:fldChar w:fldCharType="begin"/>
          </w:r>
          <w:r>
            <w:rPr>
              <w:sz w:val="32"/>
              <w:szCs w:val="32"/>
            </w:rPr>
            <w:instrText xml:space="preserve"> HYPERLINK \l "_Toc139785990" </w:instrText>
          </w:r>
          <w:r>
            <w:rPr>
              <w:sz w:val="32"/>
              <w:szCs w:val="32"/>
            </w:rPr>
            <w:fldChar w:fldCharType="separate"/>
          </w:r>
          <w:r>
            <w:rPr>
              <w:rFonts w:ascii="仿宋_GB2312" w:hAnsi="仿宋_GB2312" w:eastAsia="仿宋_GB2312" w:cs="仿宋_GB2312"/>
              <w:sz w:val="32"/>
              <w:szCs w:val="32"/>
            </w:rPr>
            <w:t>第二章 评标办法</w:t>
          </w:r>
          <w:r>
            <w:rPr>
              <w:rFonts w:ascii="仿宋_GB2312" w:hAnsi="仿宋_GB2312" w:eastAsia="仿宋_GB2312" w:cs="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_Toc139785990 \h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3</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8"/>
            <w:keepNext w:val="0"/>
            <w:keepLines w:val="0"/>
            <w:pageBreakBefore w:val="0"/>
            <w:widowControl w:val="0"/>
            <w:tabs>
              <w:tab w:val="right" w:leader="dot" w:pos="9629"/>
            </w:tabs>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ascii="仿宋_GB2312" w:hAnsi="仿宋_GB2312" w:eastAsia="仿宋_GB2312" w:cs="仿宋_GB2312"/>
              <w:sz w:val="32"/>
              <w:szCs w:val="32"/>
            </w:rPr>
          </w:pPr>
          <w:r>
            <w:rPr>
              <w:sz w:val="32"/>
              <w:szCs w:val="32"/>
            </w:rPr>
            <w:fldChar w:fldCharType="begin"/>
          </w:r>
          <w:r>
            <w:rPr>
              <w:sz w:val="32"/>
              <w:szCs w:val="32"/>
            </w:rPr>
            <w:instrText xml:space="preserve"> HYPERLINK \l "_Toc139785991" </w:instrText>
          </w:r>
          <w:r>
            <w:rPr>
              <w:sz w:val="32"/>
              <w:szCs w:val="32"/>
            </w:rPr>
            <w:fldChar w:fldCharType="separate"/>
          </w:r>
          <w:r>
            <w:rPr>
              <w:rFonts w:ascii="仿宋_GB2312" w:hAnsi="仿宋_GB2312" w:eastAsia="仿宋_GB2312" w:cs="仿宋_GB2312"/>
              <w:sz w:val="32"/>
              <w:szCs w:val="32"/>
            </w:rPr>
            <w:t>第三章 合同条款及格式</w:t>
          </w:r>
          <w:r>
            <w:rPr>
              <w:rFonts w:ascii="仿宋_GB2312" w:hAnsi="仿宋_GB2312" w:eastAsia="仿宋_GB2312" w:cs="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_Toc139785991 \h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7</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8"/>
            <w:keepNext w:val="0"/>
            <w:keepLines w:val="0"/>
            <w:pageBreakBefore w:val="0"/>
            <w:widowControl w:val="0"/>
            <w:tabs>
              <w:tab w:val="right" w:leader="dot" w:pos="9629"/>
            </w:tabs>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ascii="仿宋_GB2312" w:hAnsi="仿宋_GB2312" w:eastAsia="仿宋_GB2312" w:cs="仿宋_GB2312"/>
              <w:sz w:val="32"/>
              <w:szCs w:val="32"/>
            </w:rPr>
          </w:pPr>
          <w:r>
            <w:rPr>
              <w:sz w:val="32"/>
              <w:szCs w:val="32"/>
            </w:rPr>
            <w:fldChar w:fldCharType="begin"/>
          </w:r>
          <w:r>
            <w:rPr>
              <w:sz w:val="32"/>
              <w:szCs w:val="32"/>
            </w:rPr>
            <w:instrText xml:space="preserve"> HYPERLINK \l "_Toc139785992" </w:instrText>
          </w:r>
          <w:r>
            <w:rPr>
              <w:sz w:val="32"/>
              <w:szCs w:val="32"/>
            </w:rPr>
            <w:fldChar w:fldCharType="separate"/>
          </w:r>
          <w:r>
            <w:rPr>
              <w:rFonts w:ascii="仿宋_GB2312" w:hAnsi="仿宋_GB2312" w:eastAsia="仿宋_GB2312" w:cs="仿宋_GB2312"/>
              <w:sz w:val="32"/>
              <w:szCs w:val="32"/>
            </w:rPr>
            <w:t>第四章 工程量清单</w:t>
          </w:r>
          <w:r>
            <w:rPr>
              <w:rFonts w:ascii="仿宋_GB2312" w:hAnsi="仿宋_GB2312" w:eastAsia="仿宋_GB2312" w:cs="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_Toc139785992 \h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58</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8"/>
            <w:keepNext w:val="0"/>
            <w:keepLines w:val="0"/>
            <w:pageBreakBefore w:val="0"/>
            <w:widowControl w:val="0"/>
            <w:tabs>
              <w:tab w:val="right" w:leader="dot" w:pos="9629"/>
            </w:tabs>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ascii="仿宋_GB2312" w:hAnsi="仿宋_GB2312" w:eastAsia="仿宋_GB2312" w:cs="仿宋_GB2312"/>
              <w:sz w:val="32"/>
              <w:szCs w:val="32"/>
            </w:rPr>
          </w:pPr>
          <w:r>
            <w:rPr>
              <w:sz w:val="32"/>
              <w:szCs w:val="32"/>
            </w:rPr>
            <w:fldChar w:fldCharType="begin"/>
          </w:r>
          <w:r>
            <w:rPr>
              <w:sz w:val="32"/>
              <w:szCs w:val="32"/>
            </w:rPr>
            <w:instrText xml:space="preserve"> HYPERLINK \l "_Toc139785993" </w:instrText>
          </w:r>
          <w:r>
            <w:rPr>
              <w:sz w:val="32"/>
              <w:szCs w:val="32"/>
            </w:rPr>
            <w:fldChar w:fldCharType="separate"/>
          </w:r>
          <w:r>
            <w:rPr>
              <w:rFonts w:ascii="仿宋_GB2312" w:hAnsi="仿宋_GB2312" w:eastAsia="仿宋_GB2312" w:cs="仿宋_GB2312"/>
              <w:sz w:val="32"/>
              <w:szCs w:val="32"/>
            </w:rPr>
            <w:t>第五章 技术标准及要求</w:t>
          </w:r>
          <w:r>
            <w:rPr>
              <w:rFonts w:ascii="仿宋_GB2312" w:hAnsi="仿宋_GB2312" w:eastAsia="仿宋_GB2312" w:cs="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_Toc139785993 \h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59</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8"/>
            <w:keepNext w:val="0"/>
            <w:keepLines w:val="0"/>
            <w:pageBreakBefore w:val="0"/>
            <w:widowControl w:val="0"/>
            <w:tabs>
              <w:tab w:val="right" w:leader="dot" w:pos="9629"/>
            </w:tabs>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ascii="仿宋_GB2312" w:hAnsi="仿宋_GB2312" w:eastAsia="仿宋_GB2312" w:cs="仿宋_GB2312"/>
              <w:sz w:val="28"/>
              <w:szCs w:val="28"/>
            </w:rPr>
          </w:pPr>
          <w:r>
            <w:rPr>
              <w:sz w:val="32"/>
              <w:szCs w:val="32"/>
            </w:rPr>
            <w:fldChar w:fldCharType="begin"/>
          </w:r>
          <w:r>
            <w:rPr>
              <w:sz w:val="32"/>
              <w:szCs w:val="32"/>
            </w:rPr>
            <w:instrText xml:space="preserve"> HYPERLINK \l "_Toc139785994" </w:instrText>
          </w:r>
          <w:r>
            <w:rPr>
              <w:sz w:val="32"/>
              <w:szCs w:val="32"/>
            </w:rPr>
            <w:fldChar w:fldCharType="separate"/>
          </w:r>
          <w:r>
            <w:rPr>
              <w:rFonts w:ascii="仿宋_GB2312" w:hAnsi="仿宋_GB2312" w:eastAsia="仿宋_GB2312" w:cs="仿宋_GB2312"/>
              <w:sz w:val="32"/>
              <w:szCs w:val="32"/>
            </w:rPr>
            <w:t>第六章 投标文件格式</w:t>
          </w:r>
          <w:r>
            <w:rPr>
              <w:rFonts w:ascii="仿宋_GB2312" w:hAnsi="仿宋_GB2312" w:eastAsia="仿宋_GB2312" w:cs="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_Toc139785994 \h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64</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spacing w:line="560" w:lineRule="exact"/>
            <w:rPr>
              <w:b/>
              <w:bCs/>
              <w:sz w:val="28"/>
              <w:szCs w:val="28"/>
            </w:rPr>
          </w:pPr>
          <w:r>
            <w:rPr>
              <w:rFonts w:hint="eastAsia" w:ascii="仿宋_GB2312" w:hAnsi="仿宋_GB2312" w:eastAsia="仿宋_GB2312" w:cs="仿宋_GB2312"/>
              <w:bCs/>
              <w:sz w:val="28"/>
              <w:szCs w:val="28"/>
            </w:rPr>
            <w:fldChar w:fldCharType="end"/>
          </w:r>
        </w:p>
      </w:sdtContent>
    </w:sdt>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rPr>
          <w:b/>
          <w:bCs/>
          <w:sz w:val="44"/>
          <w:szCs w:val="44"/>
        </w:rPr>
      </w:pPr>
    </w:p>
    <w:p>
      <w:pPr>
        <w:pStyle w:val="9"/>
        <w:pageBreakBefore/>
        <w:spacing w:before="0" w:after="0" w:line="560" w:lineRule="exact"/>
        <w:sectPr>
          <w:footerReference r:id="rId6" w:type="default"/>
          <w:pgSz w:w="11907" w:h="16840"/>
          <w:pgMar w:top="1134" w:right="1134" w:bottom="1134" w:left="1134" w:header="851" w:footer="992" w:gutter="0"/>
          <w:pgNumType w:fmt="numberInDash"/>
          <w:cols w:space="720" w:num="1"/>
          <w:docGrid w:linePitch="312" w:charSpace="0"/>
        </w:sectPr>
      </w:pPr>
      <w:bookmarkStart w:id="0" w:name="_Toc448097401"/>
    </w:p>
    <w:p>
      <w:pPr>
        <w:pStyle w:val="9"/>
        <w:keepNext w:val="0"/>
        <w:keepLines w:val="0"/>
        <w:pageBreakBefore/>
        <w:kinsoku/>
        <w:wordWrap w:val="0"/>
        <w:overflowPunct/>
        <w:topLinePunct w:val="0"/>
        <w:bidi w:val="0"/>
        <w:spacing w:before="0" w:after="0" w:line="560" w:lineRule="exact"/>
        <w:ind w:left="0" w:leftChars="0" w:right="0" w:rightChars="0"/>
        <w:textAlignment w:val="auto"/>
        <w:rPr>
          <w:color w:val="auto"/>
        </w:rPr>
      </w:pPr>
      <w:bookmarkStart w:id="1" w:name="_Toc139785989"/>
      <w:r>
        <w:rPr>
          <w:rFonts w:hint="eastAsia"/>
        </w:rPr>
        <w:t xml:space="preserve">第一章 </w:t>
      </w:r>
      <w:bookmarkEnd w:id="0"/>
      <w:bookmarkEnd w:id="1"/>
      <w:bookmarkStart w:id="2" w:name="_Toc448097403"/>
      <w:bookmarkStart w:id="3" w:name="_Toc448097402"/>
      <w:r>
        <w:rPr>
          <w:rFonts w:hint="eastAsia"/>
          <w:color w:val="auto"/>
        </w:rPr>
        <w:t>招标公告</w:t>
      </w:r>
    </w:p>
    <w:p>
      <w:pPr>
        <w:keepNext w:val="0"/>
        <w:keepLines w:val="0"/>
        <w:widowControl/>
        <w:kinsoku/>
        <w:wordWrap w:val="0"/>
        <w:overflowPunct/>
        <w:topLinePunct w:val="0"/>
        <w:bidi w:val="0"/>
        <w:snapToGrid w:val="0"/>
        <w:spacing w:line="360" w:lineRule="atLeast"/>
        <w:ind w:left="0" w:leftChars="0" w:right="0" w:rightChars="0"/>
        <w:jc w:val="left"/>
        <w:textAlignment w:val="auto"/>
        <w:rPr>
          <w:rFonts w:ascii="仿宋_GB2312" w:hAnsi="仿宋_GB2312" w:eastAsia="仿宋_GB2312" w:cs="仿宋_GB2312"/>
          <w:color w:val="auto"/>
          <w:kern w:val="0"/>
          <w:sz w:val="28"/>
          <w:szCs w:val="28"/>
        </w:rPr>
      </w:pPr>
      <w:r>
        <w:rPr>
          <w:rFonts w:hint="eastAsia" w:ascii="仿宋_GB2312" w:hAnsi="仿宋_GB2312" w:eastAsia="仿宋_GB2312" w:cs="仿宋_GB2312"/>
          <w:b/>
          <w:bCs/>
          <w:color w:val="auto"/>
          <w:kern w:val="0"/>
          <w:sz w:val="28"/>
          <w:szCs w:val="28"/>
        </w:rPr>
        <w:t>一、招标内容</w:t>
      </w:r>
    </w:p>
    <w:p>
      <w:pPr>
        <w:keepNext w:val="0"/>
        <w:keepLines w:val="0"/>
        <w:widowControl/>
        <w:numPr>
          <w:ilvl w:val="0"/>
          <w:numId w:val="1"/>
        </w:numPr>
        <w:kinsoku/>
        <w:wordWrap w:val="0"/>
        <w:overflowPunct/>
        <w:topLinePunct w:val="0"/>
        <w:bidi w:val="0"/>
        <w:adjustRightInd w:val="0"/>
        <w:snapToGrid w:val="0"/>
        <w:spacing w:line="360" w:lineRule="atLeast"/>
        <w:ind w:left="0" w:leftChars="0" w:right="0" w:rightChars="0" w:firstLine="560" w:firstLineChars="200"/>
        <w:textAlignment w:val="auto"/>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项目概况：对T1T2T3航站楼各漏水点进行注浆防渗和穿孔导水。</w:t>
      </w:r>
    </w:p>
    <w:p>
      <w:pPr>
        <w:keepNext w:val="0"/>
        <w:keepLines w:val="0"/>
        <w:widowControl/>
        <w:numPr>
          <w:ilvl w:val="0"/>
          <w:numId w:val="1"/>
        </w:numPr>
        <w:kinsoku/>
        <w:wordWrap w:val="0"/>
        <w:overflowPunct/>
        <w:topLinePunct w:val="0"/>
        <w:bidi w:val="0"/>
        <w:adjustRightInd w:val="0"/>
        <w:snapToGrid w:val="0"/>
        <w:spacing w:line="360" w:lineRule="atLeast"/>
        <w:ind w:left="0" w:leftChars="0" w:right="0" w:rightChars="0" w:firstLine="560" w:firstLineChars="200"/>
        <w:textAlignment w:val="auto"/>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实施内容：详见工程量清单和技术标准及要求。</w:t>
      </w:r>
    </w:p>
    <w:p>
      <w:pPr>
        <w:keepNext w:val="0"/>
        <w:keepLines w:val="0"/>
        <w:widowControl/>
        <w:numPr>
          <w:ilvl w:val="0"/>
          <w:numId w:val="1"/>
        </w:numPr>
        <w:kinsoku/>
        <w:wordWrap w:val="0"/>
        <w:overflowPunct/>
        <w:topLinePunct w:val="0"/>
        <w:bidi w:val="0"/>
        <w:adjustRightInd w:val="0"/>
        <w:snapToGrid w:val="0"/>
        <w:spacing w:line="360" w:lineRule="atLeast"/>
        <w:ind w:left="0" w:leftChars="0" w:right="0" w:rightChars="0" w:firstLine="560" w:firstLineChars="200"/>
        <w:textAlignment w:val="auto"/>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本项目设一个标段，要求甲方通知进场后</w:t>
      </w:r>
      <w:r>
        <w:rPr>
          <w:rFonts w:ascii="仿宋_GB2312" w:hAnsi="仿宋_GB2312" w:eastAsia="仿宋_GB2312" w:cs="仿宋_GB2312"/>
          <w:color w:val="auto"/>
          <w:kern w:val="0"/>
          <w:sz w:val="28"/>
          <w:szCs w:val="28"/>
        </w:rPr>
        <w:t>20</w:t>
      </w:r>
      <w:r>
        <w:rPr>
          <w:rFonts w:hint="eastAsia" w:ascii="仿宋_GB2312" w:hAnsi="仿宋_GB2312" w:eastAsia="仿宋_GB2312" w:cs="仿宋_GB2312"/>
          <w:color w:val="auto"/>
          <w:kern w:val="0"/>
          <w:sz w:val="28"/>
          <w:szCs w:val="28"/>
        </w:rPr>
        <w:t>日历天内完工。</w:t>
      </w:r>
    </w:p>
    <w:p>
      <w:pPr>
        <w:keepNext w:val="0"/>
        <w:keepLines w:val="0"/>
        <w:widowControl/>
        <w:kinsoku/>
        <w:wordWrap w:val="0"/>
        <w:overflowPunct/>
        <w:topLinePunct w:val="0"/>
        <w:bidi w:val="0"/>
        <w:snapToGrid w:val="0"/>
        <w:spacing w:line="360" w:lineRule="atLeast"/>
        <w:ind w:left="0" w:leftChars="0" w:right="0" w:rightChars="0"/>
        <w:jc w:val="left"/>
        <w:textAlignment w:val="auto"/>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二、资格要求 </w:t>
      </w:r>
    </w:p>
    <w:p>
      <w:pPr>
        <w:keepNext w:val="0"/>
        <w:keepLines w:val="0"/>
        <w:widowControl/>
        <w:numPr>
          <w:ilvl w:val="0"/>
          <w:numId w:val="2"/>
        </w:numPr>
        <w:kinsoku/>
        <w:wordWrap w:val="0"/>
        <w:overflowPunct/>
        <w:topLinePunct w:val="0"/>
        <w:bidi w:val="0"/>
        <w:adjustRightInd w:val="0"/>
        <w:snapToGrid w:val="0"/>
        <w:spacing w:line="360" w:lineRule="atLeast"/>
        <w:ind w:left="0" w:leftChars="0" w:right="0" w:rightChars="0" w:firstLine="560" w:firstLineChars="200"/>
        <w:textAlignment w:val="auto"/>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kern w:val="0"/>
          <w:sz w:val="28"/>
          <w:szCs w:val="28"/>
        </w:rPr>
        <w:t>投标人具备</w:t>
      </w:r>
      <w:r>
        <w:rPr>
          <w:rFonts w:hint="eastAsia" w:ascii="仿宋_GB2312" w:hAnsi="仿宋_GB2312" w:eastAsia="仿宋_GB2312" w:cs="仿宋_GB2312"/>
          <w:b/>
          <w:bCs/>
          <w:color w:val="auto"/>
          <w:kern w:val="0"/>
          <w:sz w:val="28"/>
          <w:szCs w:val="28"/>
          <w:u w:val="single"/>
        </w:rPr>
        <w:t>建筑工程施工总承包三级</w:t>
      </w:r>
      <w:r>
        <w:rPr>
          <w:rFonts w:hint="eastAsia" w:ascii="仿宋_GB2312" w:hAnsi="仿宋_GB2312" w:eastAsia="仿宋_GB2312" w:cs="仿宋_GB2312"/>
          <w:b/>
          <w:bCs/>
          <w:color w:val="auto"/>
          <w:kern w:val="0"/>
          <w:sz w:val="28"/>
          <w:szCs w:val="28"/>
        </w:rPr>
        <w:t>或</w:t>
      </w:r>
      <w:r>
        <w:rPr>
          <w:rFonts w:hint="eastAsia" w:ascii="仿宋_GB2312" w:hAnsi="仿宋_GB2312" w:eastAsia="仿宋_GB2312" w:cs="仿宋_GB2312"/>
          <w:b/>
          <w:bCs/>
          <w:color w:val="auto"/>
          <w:kern w:val="0"/>
          <w:sz w:val="28"/>
          <w:szCs w:val="28"/>
          <w:u w:val="single"/>
        </w:rPr>
        <w:t>建筑装修装饰工程专业承包二级</w:t>
      </w:r>
      <w:r>
        <w:rPr>
          <w:rFonts w:hint="eastAsia" w:ascii="仿宋_GB2312" w:hAnsi="仿宋_GB2312" w:eastAsia="仿宋_GB2312" w:cs="仿宋_GB2312"/>
          <w:b/>
          <w:bCs/>
          <w:color w:val="auto"/>
          <w:kern w:val="0"/>
          <w:sz w:val="28"/>
          <w:szCs w:val="28"/>
        </w:rPr>
        <w:t>及以上资质。</w:t>
      </w:r>
    </w:p>
    <w:p>
      <w:pPr>
        <w:keepNext w:val="0"/>
        <w:keepLines w:val="0"/>
        <w:widowControl/>
        <w:numPr>
          <w:ilvl w:val="0"/>
          <w:numId w:val="2"/>
        </w:numPr>
        <w:kinsoku/>
        <w:wordWrap w:val="0"/>
        <w:overflowPunct/>
        <w:topLinePunct w:val="0"/>
        <w:bidi w:val="0"/>
        <w:adjustRightInd w:val="0"/>
        <w:snapToGrid w:val="0"/>
        <w:spacing w:line="360" w:lineRule="atLeast"/>
        <w:ind w:left="0" w:leftChars="0" w:right="0" w:rightChars="0" w:firstLine="560" w:firstLineChars="200"/>
        <w:textAlignment w:val="auto"/>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投标人应具有有效的《安全生产许可证》。</w:t>
      </w:r>
    </w:p>
    <w:p>
      <w:pPr>
        <w:keepNext w:val="0"/>
        <w:keepLines w:val="0"/>
        <w:widowControl/>
        <w:numPr>
          <w:ilvl w:val="0"/>
          <w:numId w:val="2"/>
        </w:numPr>
        <w:kinsoku/>
        <w:wordWrap w:val="0"/>
        <w:overflowPunct/>
        <w:topLinePunct w:val="0"/>
        <w:bidi w:val="0"/>
        <w:adjustRightInd w:val="0"/>
        <w:snapToGrid w:val="0"/>
        <w:spacing w:line="360" w:lineRule="atLeast"/>
        <w:ind w:left="0" w:leftChars="0" w:right="0" w:rightChars="0" w:firstLine="560" w:firstLineChars="200"/>
        <w:textAlignment w:val="auto"/>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项目经理资格要求：具有建筑专业二级及以上注册建造师执业证书。</w:t>
      </w:r>
    </w:p>
    <w:p>
      <w:pPr>
        <w:keepNext w:val="0"/>
        <w:keepLines w:val="0"/>
        <w:widowControl/>
        <w:numPr>
          <w:ilvl w:val="0"/>
          <w:numId w:val="2"/>
        </w:numPr>
        <w:kinsoku/>
        <w:wordWrap w:val="0"/>
        <w:overflowPunct/>
        <w:topLinePunct w:val="0"/>
        <w:bidi w:val="0"/>
        <w:adjustRightInd w:val="0"/>
        <w:snapToGrid w:val="0"/>
        <w:spacing w:line="360" w:lineRule="atLeast"/>
        <w:ind w:left="0" w:leftChars="0" w:right="0" w:rightChars="0" w:firstLine="560" w:firstLineChars="200"/>
        <w:textAlignment w:val="auto"/>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本项目不接受联合体投标。</w:t>
      </w:r>
    </w:p>
    <w:p>
      <w:pPr>
        <w:keepNext w:val="0"/>
        <w:keepLines w:val="0"/>
        <w:widowControl/>
        <w:kinsoku/>
        <w:wordWrap w:val="0"/>
        <w:overflowPunct/>
        <w:topLinePunct w:val="0"/>
        <w:bidi w:val="0"/>
        <w:snapToGrid w:val="0"/>
        <w:spacing w:line="360" w:lineRule="atLeast"/>
        <w:ind w:left="0" w:leftChars="0" w:right="0" w:rightChars="0"/>
        <w:jc w:val="left"/>
        <w:textAlignment w:val="auto"/>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三、招标文件获取</w:t>
      </w:r>
    </w:p>
    <w:p>
      <w:pPr>
        <w:keepNext w:val="0"/>
        <w:keepLines w:val="0"/>
        <w:kinsoku/>
        <w:wordWrap w:val="0"/>
        <w:overflowPunct/>
        <w:topLinePunct w:val="0"/>
        <w:bidi w:val="0"/>
        <w:snapToGrid w:val="0"/>
        <w:spacing w:line="360" w:lineRule="atLeast"/>
        <w:ind w:left="0" w:leftChars="0" w:right="0" w:rightChars="0" w:firstLine="560" w:firstLineChars="200"/>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凡符合资格条件并有投标意向的潜在投标人，请通过杭州萧山国际机场有限公司主页</w:t>
      </w:r>
      <w:r>
        <w:rPr>
          <w:rFonts w:ascii="仿宋_GB2312" w:hAnsi="仿宋_GB2312" w:eastAsia="仿宋_GB2312" w:cs="仿宋_GB2312"/>
          <w:color w:val="auto"/>
          <w:sz w:val="28"/>
          <w:szCs w:val="28"/>
        </w:rPr>
        <w:t>http://www.hzairport.com/tender/index.html</w:t>
      </w:r>
      <w:r>
        <w:rPr>
          <w:rFonts w:hint="eastAsia" w:ascii="仿宋_GB2312" w:hAnsi="仿宋_GB2312" w:eastAsia="仿宋_GB2312" w:cs="仿宋_GB2312"/>
          <w:color w:val="auto"/>
          <w:kern w:val="0"/>
          <w:sz w:val="28"/>
          <w:szCs w:val="28"/>
        </w:rPr>
        <w:t>自行下载招标文件</w:t>
      </w:r>
      <w:r>
        <w:rPr>
          <w:rFonts w:hint="eastAsia" w:ascii="仿宋_GB2312" w:hAnsi="仿宋_GB2312" w:eastAsia="仿宋_GB2312" w:cs="仿宋_GB2312"/>
          <w:color w:val="auto"/>
          <w:sz w:val="28"/>
          <w:szCs w:val="28"/>
        </w:rPr>
        <w:t>。</w:t>
      </w:r>
    </w:p>
    <w:p>
      <w:pPr>
        <w:keepNext w:val="0"/>
        <w:keepLines w:val="0"/>
        <w:kinsoku/>
        <w:wordWrap w:val="0"/>
        <w:overflowPunct/>
        <w:topLinePunct w:val="0"/>
        <w:bidi w:val="0"/>
        <w:snapToGrid w:val="0"/>
        <w:spacing w:line="360" w:lineRule="atLeast"/>
        <w:ind w:left="0" w:leftChars="0" w:right="0" w:rightChars="0"/>
        <w:textAlignment w:val="auto"/>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四、踏勘现场</w:t>
      </w:r>
    </w:p>
    <w:p>
      <w:pPr>
        <w:keepNext w:val="0"/>
        <w:keepLines w:val="0"/>
        <w:kinsoku/>
        <w:wordWrap w:val="0"/>
        <w:overflowPunct/>
        <w:topLinePunct w:val="0"/>
        <w:bidi w:val="0"/>
        <w:snapToGrid w:val="0"/>
        <w:spacing w:line="360" w:lineRule="atLeast"/>
        <w:ind w:left="0" w:leftChars="0" w:right="0" w:rightChars="0" w:firstLine="560" w:firstLineChars="200"/>
        <w:textAlignment w:val="auto"/>
        <w:rPr>
          <w:rFonts w:ascii="仿宋_GB2312" w:hAnsi="仿宋_GB2312" w:eastAsia="仿宋_GB2312" w:cs="仿宋_GB2312"/>
          <w:b/>
          <w:bCs/>
          <w:color w:val="auto"/>
          <w:kern w:val="0"/>
          <w:sz w:val="28"/>
          <w:szCs w:val="28"/>
        </w:rPr>
      </w:pPr>
      <w:r>
        <w:rPr>
          <w:rFonts w:hint="eastAsia" w:ascii="仿宋_GB2312" w:hAnsi="仿宋_GB2312" w:eastAsia="仿宋_GB2312" w:cs="仿宋_GB2312"/>
          <w:color w:val="auto"/>
          <w:sz w:val="28"/>
          <w:szCs w:val="28"/>
        </w:rPr>
        <w:t>招标人组织踏勘现场，集中踏勘时间为</w:t>
      </w:r>
      <w:r>
        <w:rPr>
          <w:rFonts w:hint="eastAsia" w:ascii="仿宋_GB2312" w:hAnsi="仿宋_GB2312" w:eastAsia="仿宋_GB2312" w:cs="仿宋_GB2312"/>
          <w:color w:val="auto"/>
          <w:kern w:val="0"/>
          <w:sz w:val="28"/>
          <w:szCs w:val="28"/>
          <w:lang w:val="en-US" w:eastAsia="zh-CN"/>
        </w:rPr>
        <w:t>2023</w:t>
      </w:r>
      <w:r>
        <w:rPr>
          <w:rFonts w:hint="eastAsia" w:ascii="仿宋_GB2312" w:hAnsi="仿宋_GB2312" w:eastAsia="仿宋_GB2312" w:cs="仿宋_GB2312"/>
          <w:color w:val="auto"/>
          <w:kern w:val="0"/>
          <w:sz w:val="28"/>
          <w:szCs w:val="28"/>
        </w:rPr>
        <w:t>年</w:t>
      </w:r>
      <w:r>
        <w:rPr>
          <w:rFonts w:hint="eastAsia" w:ascii="仿宋_GB2312" w:hAnsi="仿宋_GB2312" w:eastAsia="仿宋_GB2312" w:cs="仿宋_GB2312"/>
          <w:color w:val="auto"/>
          <w:kern w:val="0"/>
          <w:sz w:val="28"/>
          <w:szCs w:val="28"/>
          <w:lang w:val="en-US" w:eastAsia="zh-CN"/>
        </w:rPr>
        <w:t>7</w:t>
      </w:r>
      <w:r>
        <w:rPr>
          <w:rFonts w:hint="eastAsia" w:ascii="仿宋_GB2312" w:hAnsi="仿宋_GB2312" w:eastAsia="仿宋_GB2312" w:cs="仿宋_GB2312"/>
          <w:color w:val="auto"/>
          <w:kern w:val="0"/>
          <w:sz w:val="28"/>
          <w:szCs w:val="28"/>
        </w:rPr>
        <w:t>月</w:t>
      </w:r>
      <w:r>
        <w:rPr>
          <w:rFonts w:hint="eastAsia" w:ascii="仿宋_GB2312" w:hAnsi="仿宋_GB2312" w:eastAsia="仿宋_GB2312" w:cs="仿宋_GB2312"/>
          <w:color w:val="auto"/>
          <w:kern w:val="0"/>
          <w:sz w:val="28"/>
          <w:szCs w:val="28"/>
          <w:lang w:val="en-US" w:eastAsia="zh-CN"/>
        </w:rPr>
        <w:t>25</w:t>
      </w:r>
      <w:r>
        <w:rPr>
          <w:rFonts w:hint="eastAsia" w:ascii="仿宋_GB2312" w:hAnsi="仿宋_GB2312" w:eastAsia="仿宋_GB2312" w:cs="仿宋_GB2312"/>
          <w:color w:val="auto"/>
          <w:kern w:val="0"/>
          <w:sz w:val="28"/>
          <w:szCs w:val="28"/>
        </w:rPr>
        <w:t>日</w:t>
      </w:r>
      <w:r>
        <w:rPr>
          <w:rFonts w:hint="eastAsia" w:ascii="仿宋_GB2312" w:hAnsi="仿宋_GB2312" w:eastAsia="仿宋_GB2312" w:cs="仿宋_GB2312"/>
          <w:color w:val="auto"/>
          <w:kern w:val="0"/>
          <w:sz w:val="28"/>
          <w:szCs w:val="28"/>
          <w:lang w:val="en-US" w:eastAsia="zh-CN"/>
        </w:rPr>
        <w:t>10</w:t>
      </w:r>
      <w:r>
        <w:rPr>
          <w:rFonts w:hint="eastAsia" w:ascii="仿宋_GB2312" w:hAnsi="仿宋_GB2312" w:eastAsia="仿宋_GB2312" w:cs="仿宋_GB2312"/>
          <w:color w:val="auto"/>
          <w:kern w:val="0"/>
          <w:sz w:val="28"/>
          <w:szCs w:val="28"/>
        </w:rPr>
        <w:t xml:space="preserve">时 </w:t>
      </w:r>
      <w:r>
        <w:rPr>
          <w:rFonts w:hint="eastAsia" w:ascii="仿宋_GB2312" w:hAnsi="仿宋_GB2312" w:eastAsia="仿宋_GB2312" w:cs="仿宋_GB2312"/>
          <w:color w:val="auto"/>
          <w:kern w:val="0"/>
          <w:sz w:val="28"/>
          <w:szCs w:val="28"/>
          <w:lang w:val="en-US" w:eastAsia="zh-CN"/>
        </w:rPr>
        <w:t>00</w:t>
      </w:r>
      <w:r>
        <w:rPr>
          <w:rFonts w:hint="eastAsia" w:ascii="仿宋_GB2312" w:hAnsi="仿宋_GB2312" w:eastAsia="仿宋_GB2312" w:cs="仿宋_GB2312"/>
          <w:color w:val="auto"/>
          <w:kern w:val="0"/>
          <w:sz w:val="28"/>
          <w:szCs w:val="28"/>
        </w:rPr>
        <w:t>分（北京时间）。踏勘集中地点为</w:t>
      </w:r>
      <w:r>
        <w:rPr>
          <w:rFonts w:hint="eastAsia" w:ascii="仿宋_GB2312" w:hAnsi="仿宋_GB2312" w:eastAsia="仿宋_GB2312" w:cs="仿宋_GB2312"/>
          <w:b/>
          <w:bCs/>
          <w:color w:val="auto"/>
          <w:kern w:val="0"/>
          <w:sz w:val="28"/>
          <w:szCs w:val="28"/>
        </w:rPr>
        <w:t>杭州萧山国际机场物业维修中心</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b/>
          <w:bCs/>
          <w:color w:val="auto"/>
          <w:kern w:val="0"/>
          <w:sz w:val="28"/>
          <w:szCs w:val="28"/>
        </w:rPr>
        <w:t>由于未参加现场踏勘引起的报价失误等责任由投标人自负。</w:t>
      </w:r>
    </w:p>
    <w:p>
      <w:pPr>
        <w:keepNext w:val="0"/>
        <w:keepLines w:val="0"/>
        <w:kinsoku/>
        <w:wordWrap w:val="0"/>
        <w:overflowPunct/>
        <w:topLinePunct w:val="0"/>
        <w:bidi w:val="0"/>
        <w:snapToGrid w:val="0"/>
        <w:spacing w:line="360" w:lineRule="atLeast"/>
        <w:ind w:left="0" w:leftChars="0" w:right="0" w:rightChars="0"/>
        <w:textAlignment w:val="auto"/>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五、招标答疑</w:t>
      </w:r>
    </w:p>
    <w:p>
      <w:pPr>
        <w:keepNext w:val="0"/>
        <w:keepLines w:val="0"/>
        <w:pageBreakBefore w:val="0"/>
        <w:widowControl w:val="0"/>
        <w:kinsoku/>
        <w:wordWrap w:val="0"/>
        <w:overflowPunct/>
        <w:topLinePunct w:val="0"/>
        <w:autoSpaceDE/>
        <w:autoSpaceDN/>
        <w:bidi w:val="0"/>
        <w:adjustRightInd/>
        <w:snapToGrid w:val="0"/>
        <w:spacing w:line="360" w:lineRule="atLeast"/>
        <w:ind w:left="0" w:leftChars="0" w:right="0" w:rightChars="0" w:firstLine="560" w:firstLineChars="200"/>
        <w:jc w:val="both"/>
        <w:textAlignment w:val="auto"/>
        <w:outlineLvl w:val="9"/>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val="en-US" w:eastAsia="zh-CN"/>
        </w:rPr>
        <w:t>2023</w:t>
      </w:r>
      <w:r>
        <w:rPr>
          <w:rFonts w:hint="eastAsia" w:ascii="仿宋_GB2312" w:hAnsi="仿宋_GB2312" w:eastAsia="仿宋_GB2312" w:cs="仿宋_GB2312"/>
          <w:color w:val="auto"/>
          <w:kern w:val="0"/>
          <w:sz w:val="28"/>
          <w:szCs w:val="28"/>
        </w:rPr>
        <w:t>年</w:t>
      </w:r>
      <w:r>
        <w:rPr>
          <w:rFonts w:hint="eastAsia" w:ascii="仿宋_GB2312" w:hAnsi="仿宋_GB2312" w:eastAsia="仿宋_GB2312" w:cs="仿宋_GB2312"/>
          <w:color w:val="auto"/>
          <w:kern w:val="0"/>
          <w:sz w:val="28"/>
          <w:szCs w:val="28"/>
          <w:lang w:val="en-US" w:eastAsia="zh-CN"/>
        </w:rPr>
        <w:t>8</w:t>
      </w:r>
      <w:r>
        <w:rPr>
          <w:rFonts w:hint="eastAsia" w:ascii="仿宋_GB2312" w:hAnsi="仿宋_GB2312" w:eastAsia="仿宋_GB2312" w:cs="仿宋_GB2312"/>
          <w:color w:val="auto"/>
          <w:kern w:val="0"/>
          <w:sz w:val="28"/>
          <w:szCs w:val="28"/>
        </w:rPr>
        <w:t>月</w:t>
      </w:r>
      <w:r>
        <w:rPr>
          <w:rFonts w:hint="eastAsia" w:ascii="仿宋_GB2312" w:hAnsi="仿宋_GB2312" w:eastAsia="仿宋_GB2312" w:cs="仿宋_GB2312"/>
          <w:color w:val="auto"/>
          <w:kern w:val="0"/>
          <w:sz w:val="28"/>
          <w:szCs w:val="28"/>
          <w:lang w:val="en-US" w:eastAsia="zh-CN"/>
        </w:rPr>
        <w:t>1</w:t>
      </w:r>
      <w:r>
        <w:rPr>
          <w:rFonts w:hint="eastAsia" w:ascii="仿宋_GB2312" w:hAnsi="仿宋_GB2312" w:eastAsia="仿宋_GB2312" w:cs="仿宋_GB2312"/>
          <w:color w:val="auto"/>
          <w:kern w:val="0"/>
          <w:sz w:val="28"/>
          <w:szCs w:val="28"/>
        </w:rPr>
        <w:t>日</w:t>
      </w:r>
      <w:r>
        <w:rPr>
          <w:rFonts w:hint="eastAsia" w:ascii="仿宋_GB2312" w:hAnsi="仿宋_GB2312" w:eastAsia="仿宋_GB2312" w:cs="仿宋_GB2312"/>
          <w:color w:val="auto"/>
          <w:kern w:val="0"/>
          <w:sz w:val="28"/>
          <w:szCs w:val="28"/>
          <w:lang w:val="en-US" w:eastAsia="zh-CN"/>
        </w:rPr>
        <w:t>10</w:t>
      </w:r>
      <w:r>
        <w:rPr>
          <w:rFonts w:hint="eastAsia" w:ascii="仿宋_GB2312" w:hAnsi="仿宋_GB2312" w:eastAsia="仿宋_GB2312" w:cs="仿宋_GB2312"/>
          <w:color w:val="auto"/>
          <w:kern w:val="0"/>
          <w:sz w:val="28"/>
          <w:szCs w:val="28"/>
        </w:rPr>
        <w:t>时</w:t>
      </w:r>
      <w:r>
        <w:rPr>
          <w:rFonts w:hint="eastAsia" w:ascii="仿宋_GB2312" w:hAnsi="仿宋_GB2312" w:eastAsia="仿宋_GB2312" w:cs="仿宋_GB2312"/>
          <w:color w:val="auto"/>
          <w:kern w:val="0"/>
          <w:sz w:val="28"/>
          <w:szCs w:val="28"/>
          <w:lang w:val="en-US" w:eastAsia="zh-CN"/>
        </w:rPr>
        <w:t>00</w:t>
      </w:r>
      <w:r>
        <w:rPr>
          <w:rFonts w:hint="eastAsia" w:ascii="仿宋_GB2312" w:hAnsi="仿宋_GB2312" w:eastAsia="仿宋_GB2312" w:cs="仿宋_GB2312"/>
          <w:color w:val="auto"/>
          <w:kern w:val="0"/>
          <w:sz w:val="28"/>
          <w:szCs w:val="28"/>
        </w:rPr>
        <w:t>分前，以E-mail及书面形式提交给招标人（邮箱：373285581@qq.com，联系人：吴淼清）投标人必须在规定时间前提出对招标文件的疑问，否则招标人有权拒绝接收和拒绝回答未在截止时间前提出的疑问。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keepNext w:val="0"/>
        <w:keepLines w:val="0"/>
        <w:widowControl/>
        <w:kinsoku/>
        <w:wordWrap w:val="0"/>
        <w:overflowPunct/>
        <w:topLinePunct w:val="0"/>
        <w:bidi w:val="0"/>
        <w:snapToGrid w:val="0"/>
        <w:spacing w:line="360" w:lineRule="atLeast"/>
        <w:ind w:left="0" w:leftChars="0" w:right="0" w:rightChars="0"/>
        <w:jc w:val="left"/>
        <w:textAlignment w:val="auto"/>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六、投标文件的递交</w:t>
      </w:r>
    </w:p>
    <w:p>
      <w:pPr>
        <w:keepNext w:val="0"/>
        <w:keepLines w:val="0"/>
        <w:widowControl/>
        <w:numPr>
          <w:ilvl w:val="0"/>
          <w:numId w:val="3"/>
        </w:numPr>
        <w:kinsoku/>
        <w:wordWrap w:val="0"/>
        <w:overflowPunct/>
        <w:topLinePunct w:val="0"/>
        <w:bidi w:val="0"/>
        <w:adjustRightInd w:val="0"/>
        <w:snapToGrid w:val="0"/>
        <w:spacing w:line="360" w:lineRule="atLeast"/>
        <w:ind w:left="0" w:leftChars="0" w:right="0" w:rightChars="0" w:firstLine="560" w:firstLineChars="200"/>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投标文件递交截止时间：</w:t>
      </w:r>
      <w:r>
        <w:rPr>
          <w:rFonts w:hint="eastAsia" w:ascii="仿宋_GB2312" w:hAnsi="仿宋_GB2312" w:eastAsia="仿宋_GB2312" w:cs="仿宋_GB2312"/>
          <w:color w:val="auto"/>
          <w:kern w:val="0"/>
          <w:sz w:val="28"/>
          <w:szCs w:val="28"/>
          <w:lang w:val="en-US" w:eastAsia="zh-CN"/>
        </w:rPr>
        <w:t>2023</w:t>
      </w:r>
      <w:r>
        <w:rPr>
          <w:rFonts w:hint="eastAsia" w:ascii="仿宋_GB2312" w:hAnsi="仿宋_GB2312" w:eastAsia="仿宋_GB2312" w:cs="仿宋_GB2312"/>
          <w:color w:val="auto"/>
          <w:kern w:val="0"/>
          <w:sz w:val="28"/>
          <w:szCs w:val="28"/>
        </w:rPr>
        <w:t>年</w:t>
      </w:r>
      <w:r>
        <w:rPr>
          <w:rFonts w:hint="eastAsia" w:ascii="仿宋_GB2312" w:hAnsi="仿宋_GB2312" w:eastAsia="仿宋_GB2312" w:cs="仿宋_GB2312"/>
          <w:color w:val="auto"/>
          <w:kern w:val="0"/>
          <w:sz w:val="28"/>
          <w:szCs w:val="28"/>
          <w:lang w:val="en-US" w:eastAsia="zh-CN"/>
        </w:rPr>
        <w:t>8</w:t>
      </w:r>
      <w:r>
        <w:rPr>
          <w:rFonts w:hint="eastAsia" w:ascii="仿宋_GB2312" w:hAnsi="仿宋_GB2312" w:eastAsia="仿宋_GB2312" w:cs="仿宋_GB2312"/>
          <w:color w:val="auto"/>
          <w:kern w:val="0"/>
          <w:sz w:val="28"/>
          <w:szCs w:val="28"/>
        </w:rPr>
        <w:t>月</w:t>
      </w:r>
      <w:r>
        <w:rPr>
          <w:rFonts w:hint="eastAsia" w:ascii="仿宋_GB2312" w:hAnsi="仿宋_GB2312" w:eastAsia="仿宋_GB2312" w:cs="仿宋_GB2312"/>
          <w:color w:val="auto"/>
          <w:kern w:val="0"/>
          <w:sz w:val="28"/>
          <w:szCs w:val="28"/>
          <w:lang w:val="en-US" w:eastAsia="zh-CN"/>
        </w:rPr>
        <w:t>7</w:t>
      </w:r>
      <w:r>
        <w:rPr>
          <w:rFonts w:hint="eastAsia" w:ascii="仿宋_GB2312" w:hAnsi="仿宋_GB2312" w:eastAsia="仿宋_GB2312" w:cs="仿宋_GB2312"/>
          <w:color w:val="auto"/>
          <w:kern w:val="0"/>
          <w:sz w:val="28"/>
          <w:szCs w:val="28"/>
        </w:rPr>
        <w:t>日</w:t>
      </w:r>
      <w:r>
        <w:rPr>
          <w:rFonts w:hint="eastAsia" w:ascii="仿宋_GB2312" w:hAnsi="仿宋_GB2312" w:eastAsia="仿宋_GB2312" w:cs="仿宋_GB2312"/>
          <w:color w:val="auto"/>
          <w:kern w:val="0"/>
          <w:sz w:val="28"/>
          <w:szCs w:val="28"/>
          <w:lang w:val="en-US" w:eastAsia="zh-CN"/>
        </w:rPr>
        <w:t>9</w:t>
      </w:r>
      <w:r>
        <w:rPr>
          <w:rFonts w:hint="eastAsia" w:ascii="仿宋_GB2312" w:hAnsi="仿宋_GB2312" w:eastAsia="仿宋_GB2312" w:cs="仿宋_GB2312"/>
          <w:color w:val="auto"/>
          <w:kern w:val="0"/>
          <w:sz w:val="28"/>
          <w:szCs w:val="28"/>
        </w:rPr>
        <w:t>时</w:t>
      </w:r>
      <w:r>
        <w:rPr>
          <w:rFonts w:hint="eastAsia" w:ascii="仿宋_GB2312" w:hAnsi="仿宋_GB2312" w:eastAsia="仿宋_GB2312" w:cs="仿宋_GB2312"/>
          <w:color w:val="auto"/>
          <w:kern w:val="0"/>
          <w:sz w:val="28"/>
          <w:szCs w:val="28"/>
          <w:lang w:val="en-US" w:eastAsia="zh-CN"/>
        </w:rPr>
        <w:t>00</w:t>
      </w:r>
      <w:r>
        <w:rPr>
          <w:rFonts w:hint="eastAsia" w:ascii="仿宋_GB2312" w:hAnsi="仿宋_GB2312" w:eastAsia="仿宋_GB2312" w:cs="仿宋_GB2312"/>
          <w:color w:val="auto"/>
          <w:kern w:val="0"/>
          <w:sz w:val="28"/>
          <w:szCs w:val="28"/>
        </w:rPr>
        <w:t>分前（北京时间）。投标文件在封口处加盖公章并注明是：</w:t>
      </w:r>
      <w:r>
        <w:rPr>
          <w:rFonts w:hint="eastAsia" w:ascii="仿宋_GB2312" w:hAnsi="仿宋_GB2312" w:eastAsia="仿宋_GB2312" w:cs="仿宋_GB2312"/>
          <w:b/>
          <w:bCs/>
          <w:color w:val="auto"/>
          <w:sz w:val="28"/>
          <w:szCs w:val="28"/>
        </w:rPr>
        <w:t>杭州萧山国际机场T1T2T3航站楼漏水点专项维修项目投标文件</w:t>
      </w:r>
      <w:r>
        <w:rPr>
          <w:rFonts w:hint="eastAsia" w:ascii="仿宋_GB2312" w:hAnsi="仿宋_GB2312" w:eastAsia="仿宋_GB2312" w:cs="仿宋_GB2312"/>
          <w:color w:val="auto"/>
          <w:kern w:val="0"/>
          <w:sz w:val="28"/>
          <w:szCs w:val="28"/>
        </w:rPr>
        <w:t>，并派专人于</w:t>
      </w:r>
      <w:r>
        <w:rPr>
          <w:rFonts w:hint="eastAsia" w:ascii="仿宋_GB2312" w:hAnsi="仿宋_GB2312" w:eastAsia="仿宋_GB2312" w:cs="仿宋_GB2312"/>
          <w:color w:val="auto"/>
          <w:kern w:val="0"/>
          <w:sz w:val="28"/>
          <w:szCs w:val="28"/>
          <w:lang w:val="en-US" w:eastAsia="zh-CN"/>
        </w:rPr>
        <w:t>2023</w:t>
      </w:r>
      <w:r>
        <w:rPr>
          <w:rFonts w:hint="eastAsia" w:ascii="仿宋_GB2312" w:hAnsi="仿宋_GB2312" w:eastAsia="仿宋_GB2312" w:cs="仿宋_GB2312"/>
          <w:color w:val="auto"/>
          <w:kern w:val="0"/>
          <w:sz w:val="28"/>
          <w:szCs w:val="28"/>
        </w:rPr>
        <w:t>年</w:t>
      </w:r>
      <w:r>
        <w:rPr>
          <w:rFonts w:hint="eastAsia" w:ascii="仿宋_GB2312" w:hAnsi="仿宋_GB2312" w:eastAsia="仿宋_GB2312" w:cs="仿宋_GB2312"/>
          <w:color w:val="auto"/>
          <w:kern w:val="0"/>
          <w:sz w:val="28"/>
          <w:szCs w:val="28"/>
          <w:lang w:val="en-US" w:eastAsia="zh-CN"/>
        </w:rPr>
        <w:t>8</w:t>
      </w:r>
      <w:r>
        <w:rPr>
          <w:rFonts w:hint="eastAsia" w:ascii="仿宋_GB2312" w:hAnsi="仿宋_GB2312" w:eastAsia="仿宋_GB2312" w:cs="仿宋_GB2312"/>
          <w:color w:val="auto"/>
          <w:kern w:val="0"/>
          <w:sz w:val="28"/>
          <w:szCs w:val="28"/>
        </w:rPr>
        <w:t>月</w:t>
      </w:r>
      <w:r>
        <w:rPr>
          <w:rFonts w:hint="eastAsia" w:ascii="仿宋_GB2312" w:hAnsi="仿宋_GB2312" w:eastAsia="仿宋_GB2312" w:cs="仿宋_GB2312"/>
          <w:color w:val="auto"/>
          <w:kern w:val="0"/>
          <w:sz w:val="28"/>
          <w:szCs w:val="28"/>
          <w:lang w:val="en-US" w:eastAsia="zh-CN"/>
        </w:rPr>
        <w:t>7</w:t>
      </w:r>
      <w:r>
        <w:rPr>
          <w:rFonts w:hint="eastAsia" w:ascii="仿宋_GB2312" w:hAnsi="仿宋_GB2312" w:eastAsia="仿宋_GB2312" w:cs="仿宋_GB2312"/>
          <w:color w:val="auto"/>
          <w:kern w:val="0"/>
          <w:sz w:val="28"/>
          <w:szCs w:val="28"/>
        </w:rPr>
        <w:t>日</w:t>
      </w:r>
      <w:r>
        <w:rPr>
          <w:rFonts w:hint="eastAsia" w:ascii="仿宋_GB2312" w:hAnsi="仿宋_GB2312" w:eastAsia="仿宋_GB2312" w:cs="仿宋_GB2312"/>
          <w:color w:val="auto"/>
          <w:kern w:val="0"/>
          <w:sz w:val="28"/>
          <w:szCs w:val="28"/>
          <w:lang w:val="en-US" w:eastAsia="zh-CN"/>
        </w:rPr>
        <w:t>9</w:t>
      </w:r>
      <w:r>
        <w:rPr>
          <w:rFonts w:hint="eastAsia" w:ascii="仿宋_GB2312" w:hAnsi="仿宋_GB2312" w:eastAsia="仿宋_GB2312" w:cs="仿宋_GB2312"/>
          <w:color w:val="auto"/>
          <w:kern w:val="0"/>
          <w:sz w:val="28"/>
          <w:szCs w:val="28"/>
        </w:rPr>
        <w:t>时</w:t>
      </w:r>
      <w:r>
        <w:rPr>
          <w:rFonts w:hint="eastAsia" w:ascii="仿宋_GB2312" w:hAnsi="仿宋_GB2312" w:eastAsia="仿宋_GB2312" w:cs="仿宋_GB2312"/>
          <w:color w:val="auto"/>
          <w:kern w:val="0"/>
          <w:sz w:val="28"/>
          <w:szCs w:val="28"/>
          <w:lang w:val="en-US" w:eastAsia="zh-CN"/>
        </w:rPr>
        <w:t>00</w:t>
      </w:r>
      <w:r>
        <w:rPr>
          <w:rFonts w:hint="eastAsia" w:ascii="仿宋_GB2312" w:hAnsi="仿宋_GB2312" w:eastAsia="仿宋_GB2312" w:cs="仿宋_GB2312"/>
          <w:color w:val="auto"/>
          <w:kern w:val="0"/>
          <w:sz w:val="28"/>
          <w:szCs w:val="28"/>
        </w:rPr>
        <w:t>分前（北京时间）前送至</w:t>
      </w:r>
      <w:r>
        <w:rPr>
          <w:rFonts w:hint="eastAsia" w:ascii="仿宋_GB2312" w:hAnsi="仿宋_GB2312" w:eastAsia="仿宋_GB2312" w:cs="仿宋_GB2312"/>
          <w:b/>
          <w:bCs/>
          <w:color w:val="auto"/>
          <w:kern w:val="0"/>
          <w:sz w:val="28"/>
          <w:szCs w:val="28"/>
        </w:rPr>
        <w:t>杭州萧山国际机场物业维修中心</w:t>
      </w:r>
      <w:r>
        <w:rPr>
          <w:rFonts w:hint="eastAsia" w:ascii="仿宋_GB2312" w:hAnsi="仿宋_GB2312" w:eastAsia="仿宋_GB2312" w:cs="仿宋_GB2312"/>
          <w:color w:val="auto"/>
          <w:kern w:val="0"/>
          <w:sz w:val="28"/>
          <w:szCs w:val="28"/>
        </w:rPr>
        <w:t>，逾期无效；若采用投递方式的，请于</w:t>
      </w:r>
      <w:r>
        <w:rPr>
          <w:rFonts w:hint="eastAsia" w:ascii="仿宋_GB2312" w:hAnsi="仿宋_GB2312" w:eastAsia="仿宋_GB2312" w:cs="仿宋_GB2312"/>
          <w:color w:val="auto"/>
          <w:kern w:val="0"/>
          <w:sz w:val="28"/>
          <w:szCs w:val="28"/>
          <w:lang w:val="en-US" w:eastAsia="zh-CN"/>
        </w:rPr>
        <w:t>2023</w:t>
      </w:r>
      <w:r>
        <w:rPr>
          <w:rFonts w:hint="eastAsia" w:ascii="仿宋_GB2312" w:hAnsi="仿宋_GB2312" w:eastAsia="仿宋_GB2312" w:cs="仿宋_GB2312"/>
          <w:color w:val="auto"/>
          <w:kern w:val="0"/>
          <w:sz w:val="28"/>
          <w:szCs w:val="28"/>
        </w:rPr>
        <w:t>年</w:t>
      </w:r>
      <w:r>
        <w:rPr>
          <w:rFonts w:hint="eastAsia" w:ascii="仿宋_GB2312" w:hAnsi="仿宋_GB2312" w:eastAsia="仿宋_GB2312" w:cs="仿宋_GB2312"/>
          <w:color w:val="auto"/>
          <w:kern w:val="0"/>
          <w:sz w:val="28"/>
          <w:szCs w:val="28"/>
          <w:lang w:val="en-US" w:eastAsia="zh-CN"/>
        </w:rPr>
        <w:t>8</w:t>
      </w:r>
      <w:r>
        <w:rPr>
          <w:rFonts w:hint="eastAsia" w:ascii="仿宋_GB2312" w:hAnsi="仿宋_GB2312" w:eastAsia="仿宋_GB2312" w:cs="仿宋_GB2312"/>
          <w:color w:val="auto"/>
          <w:kern w:val="0"/>
          <w:sz w:val="28"/>
          <w:szCs w:val="28"/>
        </w:rPr>
        <w:t>月</w:t>
      </w:r>
      <w:r>
        <w:rPr>
          <w:rFonts w:hint="eastAsia" w:ascii="仿宋_GB2312" w:hAnsi="仿宋_GB2312" w:eastAsia="仿宋_GB2312" w:cs="仿宋_GB2312"/>
          <w:color w:val="auto"/>
          <w:kern w:val="0"/>
          <w:sz w:val="28"/>
          <w:szCs w:val="28"/>
          <w:lang w:val="en-US" w:eastAsia="zh-CN"/>
        </w:rPr>
        <w:t>7</w:t>
      </w:r>
      <w:r>
        <w:rPr>
          <w:rFonts w:hint="eastAsia" w:ascii="仿宋_GB2312" w:hAnsi="仿宋_GB2312" w:eastAsia="仿宋_GB2312" w:cs="仿宋_GB2312"/>
          <w:color w:val="auto"/>
          <w:kern w:val="0"/>
          <w:sz w:val="28"/>
          <w:szCs w:val="28"/>
        </w:rPr>
        <w:t>日</w:t>
      </w:r>
      <w:r>
        <w:rPr>
          <w:rFonts w:hint="eastAsia" w:ascii="仿宋_GB2312" w:hAnsi="仿宋_GB2312" w:eastAsia="仿宋_GB2312" w:cs="仿宋_GB2312"/>
          <w:color w:val="auto"/>
          <w:kern w:val="0"/>
          <w:sz w:val="28"/>
          <w:szCs w:val="28"/>
          <w:lang w:val="en-US" w:eastAsia="zh-CN"/>
        </w:rPr>
        <w:t>9</w:t>
      </w:r>
      <w:r>
        <w:rPr>
          <w:rFonts w:hint="eastAsia" w:ascii="仿宋_GB2312" w:hAnsi="仿宋_GB2312" w:eastAsia="仿宋_GB2312" w:cs="仿宋_GB2312"/>
          <w:color w:val="auto"/>
          <w:kern w:val="0"/>
          <w:sz w:val="28"/>
          <w:szCs w:val="28"/>
        </w:rPr>
        <w:t>时</w:t>
      </w:r>
      <w:r>
        <w:rPr>
          <w:rFonts w:hint="eastAsia" w:ascii="仿宋_GB2312" w:hAnsi="仿宋_GB2312" w:eastAsia="仿宋_GB2312" w:cs="仿宋_GB2312"/>
          <w:color w:val="auto"/>
          <w:kern w:val="0"/>
          <w:sz w:val="28"/>
          <w:szCs w:val="28"/>
          <w:lang w:val="en-US" w:eastAsia="zh-CN"/>
        </w:rPr>
        <w:t>00</w:t>
      </w:r>
      <w:r>
        <w:rPr>
          <w:rFonts w:hint="eastAsia" w:ascii="仿宋_GB2312" w:hAnsi="仿宋_GB2312" w:eastAsia="仿宋_GB2312" w:cs="仿宋_GB2312"/>
          <w:color w:val="auto"/>
          <w:kern w:val="0"/>
          <w:sz w:val="28"/>
          <w:szCs w:val="28"/>
        </w:rPr>
        <w:t>分前（北京时间）前投递至</w:t>
      </w:r>
      <w:r>
        <w:rPr>
          <w:rFonts w:hint="eastAsia" w:ascii="仿宋_GB2312" w:hAnsi="仿宋_GB2312" w:eastAsia="仿宋_GB2312" w:cs="仿宋_GB2312"/>
          <w:b/>
          <w:bCs/>
          <w:color w:val="auto"/>
          <w:kern w:val="0"/>
          <w:sz w:val="28"/>
          <w:szCs w:val="28"/>
        </w:rPr>
        <w:t>杭州萧山国际机场物业维修中心</w:t>
      </w:r>
      <w:r>
        <w:rPr>
          <w:rFonts w:hint="eastAsia" w:ascii="仿宋_GB2312" w:hAnsi="仿宋_GB2312" w:eastAsia="仿宋_GB2312" w:cs="仿宋_GB2312"/>
          <w:color w:val="auto"/>
          <w:kern w:val="0"/>
          <w:sz w:val="28"/>
          <w:szCs w:val="28"/>
        </w:rPr>
        <w:t>，快递面单上注明是：</w:t>
      </w:r>
      <w:r>
        <w:rPr>
          <w:rFonts w:hint="eastAsia" w:ascii="仿宋_GB2312" w:hAnsi="仿宋_GB2312" w:eastAsia="仿宋_GB2312" w:cs="仿宋_GB2312"/>
          <w:b/>
          <w:bCs/>
          <w:color w:val="auto"/>
          <w:sz w:val="28"/>
          <w:szCs w:val="28"/>
        </w:rPr>
        <w:t>杭州萧山国际机场T1T2T3航站楼漏水点专项维修项目投标文件</w:t>
      </w:r>
      <w:r>
        <w:rPr>
          <w:rFonts w:hint="eastAsia" w:ascii="仿宋_GB2312" w:hAnsi="仿宋_GB2312" w:eastAsia="仿宋_GB2312" w:cs="仿宋_GB2312"/>
          <w:b/>
          <w:bCs/>
          <w:color w:val="auto"/>
          <w:kern w:val="0"/>
          <w:sz w:val="28"/>
          <w:szCs w:val="28"/>
        </w:rPr>
        <w:t>。</w:t>
      </w:r>
    </w:p>
    <w:p>
      <w:pPr>
        <w:keepNext w:val="0"/>
        <w:keepLines w:val="0"/>
        <w:widowControl/>
        <w:numPr>
          <w:ilvl w:val="0"/>
          <w:numId w:val="3"/>
        </w:numPr>
        <w:kinsoku/>
        <w:wordWrap w:val="0"/>
        <w:overflowPunct/>
        <w:topLinePunct w:val="0"/>
        <w:bidi w:val="0"/>
        <w:adjustRightInd w:val="0"/>
        <w:snapToGrid w:val="0"/>
        <w:spacing w:line="360" w:lineRule="atLeast"/>
        <w:ind w:left="0" w:leftChars="0" w:right="0" w:rightChars="0" w:firstLine="560" w:firstLineChars="200"/>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逾期送达或者未送达指定地点的投标文件，招标人不予受理。</w:t>
      </w:r>
    </w:p>
    <w:p>
      <w:pPr>
        <w:keepNext w:val="0"/>
        <w:keepLines w:val="0"/>
        <w:widowControl/>
        <w:numPr>
          <w:ilvl w:val="0"/>
          <w:numId w:val="3"/>
        </w:numPr>
        <w:kinsoku/>
        <w:wordWrap w:val="0"/>
        <w:overflowPunct/>
        <w:topLinePunct w:val="0"/>
        <w:bidi w:val="0"/>
        <w:adjustRightInd w:val="0"/>
        <w:snapToGrid w:val="0"/>
        <w:spacing w:line="360" w:lineRule="atLeast"/>
        <w:ind w:left="0" w:leftChars="0" w:right="0" w:rightChars="0" w:firstLine="560" w:firstLineChars="200"/>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投标文件正本一份，副本二份。</w:t>
      </w:r>
    </w:p>
    <w:p>
      <w:pPr>
        <w:keepNext w:val="0"/>
        <w:keepLines w:val="0"/>
        <w:widowControl/>
        <w:numPr>
          <w:ilvl w:val="0"/>
          <w:numId w:val="3"/>
        </w:numPr>
        <w:kinsoku/>
        <w:wordWrap w:val="0"/>
        <w:overflowPunct/>
        <w:topLinePunct w:val="0"/>
        <w:bidi w:val="0"/>
        <w:adjustRightInd w:val="0"/>
        <w:snapToGrid w:val="0"/>
        <w:spacing w:line="360" w:lineRule="atLeast"/>
        <w:ind w:left="0" w:leftChars="0" w:right="0" w:rightChars="0" w:firstLine="560" w:firstLineChars="200"/>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投标文件封面（或扉页）、投标函以及各类报价表均须加盖投标人单位章，并经法定代表人（或其委托代理人）签字或盖章。</w:t>
      </w:r>
    </w:p>
    <w:p>
      <w:pPr>
        <w:keepNext w:val="0"/>
        <w:keepLines w:val="0"/>
        <w:widowControl/>
        <w:numPr>
          <w:ilvl w:val="0"/>
          <w:numId w:val="3"/>
        </w:numPr>
        <w:kinsoku/>
        <w:wordWrap w:val="0"/>
        <w:overflowPunct/>
        <w:topLinePunct w:val="0"/>
        <w:bidi w:val="0"/>
        <w:adjustRightInd w:val="0"/>
        <w:snapToGrid w:val="0"/>
        <w:spacing w:line="360" w:lineRule="atLeast"/>
        <w:ind w:left="0" w:leftChars="0" w:right="0" w:rightChars="0" w:firstLine="560" w:firstLineChars="200"/>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装订要求为不分册装订，每册采用胶装等方式装订，装订应牢固、不易拆散和换页，不得采用活页装订。</w:t>
      </w:r>
    </w:p>
    <w:p>
      <w:pPr>
        <w:keepNext w:val="0"/>
        <w:keepLines w:val="0"/>
        <w:widowControl/>
        <w:numPr>
          <w:ilvl w:val="0"/>
          <w:numId w:val="3"/>
        </w:numPr>
        <w:kinsoku/>
        <w:wordWrap w:val="0"/>
        <w:overflowPunct/>
        <w:topLinePunct w:val="0"/>
        <w:bidi w:val="0"/>
        <w:adjustRightInd w:val="0"/>
        <w:snapToGrid w:val="0"/>
        <w:spacing w:line="360" w:lineRule="atLeast"/>
        <w:ind w:left="0" w:leftChars="0" w:right="0" w:rightChars="0" w:firstLine="560" w:firstLineChars="200"/>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封套上写明：</w:t>
      </w:r>
    </w:p>
    <w:p>
      <w:pPr>
        <w:keepNext w:val="0"/>
        <w:keepLines w:val="0"/>
        <w:kinsoku/>
        <w:wordWrap w:val="0"/>
        <w:overflowPunct/>
        <w:topLinePunct w:val="0"/>
        <w:autoSpaceDE w:val="0"/>
        <w:autoSpaceDN w:val="0"/>
        <w:bidi w:val="0"/>
        <w:adjustRightInd w:val="0"/>
        <w:snapToGrid w:val="0"/>
        <w:spacing w:line="360" w:lineRule="atLeast"/>
        <w:ind w:left="0" w:leftChars="0" w:right="0" w:rightChars="0" w:firstLine="560" w:firstLineChars="200"/>
        <w:textAlignment w:val="auto"/>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招标人的地址：</w:t>
      </w:r>
      <w:r>
        <w:rPr>
          <w:rFonts w:hint="eastAsia" w:ascii="仿宋_GB2312" w:hAnsi="仿宋_GB2312" w:eastAsia="仿宋_GB2312" w:cs="仿宋_GB2312"/>
          <w:color w:val="auto"/>
          <w:sz w:val="28"/>
          <w:szCs w:val="28"/>
          <w:u w:val="single"/>
        </w:rPr>
        <w:t>杭州萧山国际机场内</w:t>
      </w:r>
    </w:p>
    <w:p>
      <w:pPr>
        <w:keepNext w:val="0"/>
        <w:keepLines w:val="0"/>
        <w:kinsoku/>
        <w:wordWrap w:val="0"/>
        <w:overflowPunct/>
        <w:topLinePunct w:val="0"/>
        <w:autoSpaceDE w:val="0"/>
        <w:autoSpaceDN w:val="0"/>
        <w:bidi w:val="0"/>
        <w:adjustRightInd w:val="0"/>
        <w:snapToGrid w:val="0"/>
        <w:spacing w:line="360" w:lineRule="atLeast"/>
        <w:ind w:left="0" w:leftChars="0" w:right="0" w:rightChars="0" w:firstLine="560" w:firstLineChars="200"/>
        <w:textAlignment w:val="auto"/>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招标人名称：</w:t>
      </w:r>
      <w:r>
        <w:rPr>
          <w:rFonts w:hint="eastAsia" w:ascii="仿宋_GB2312" w:hAnsi="仿宋_GB2312" w:eastAsia="仿宋_GB2312" w:cs="仿宋_GB2312"/>
          <w:color w:val="auto"/>
          <w:kern w:val="0"/>
          <w:sz w:val="28"/>
          <w:szCs w:val="28"/>
          <w:u w:val="single"/>
        </w:rPr>
        <w:t>杭州萧山国际机场有限公司</w:t>
      </w:r>
    </w:p>
    <w:p>
      <w:pPr>
        <w:keepNext w:val="0"/>
        <w:keepLines w:val="0"/>
        <w:kinsoku/>
        <w:wordWrap w:val="0"/>
        <w:overflowPunct/>
        <w:topLinePunct w:val="0"/>
        <w:autoSpaceDE w:val="0"/>
        <w:autoSpaceDN w:val="0"/>
        <w:bidi w:val="0"/>
        <w:adjustRightInd w:val="0"/>
        <w:snapToGrid w:val="0"/>
        <w:spacing w:line="360" w:lineRule="atLeast"/>
        <w:ind w:left="0" w:leftChars="0" w:right="0" w:rightChars="0" w:firstLine="560" w:firstLineChars="200"/>
        <w:textAlignment w:val="auto"/>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sz w:val="28"/>
          <w:szCs w:val="28"/>
        </w:rPr>
        <w:t>项目名称：</w:t>
      </w:r>
      <w:r>
        <w:rPr>
          <w:rFonts w:hint="eastAsia" w:ascii="仿宋_GB2312" w:hAnsi="仿宋_GB2312" w:eastAsia="仿宋_GB2312" w:cs="仿宋_GB2312"/>
          <w:color w:val="auto"/>
          <w:sz w:val="28"/>
          <w:szCs w:val="28"/>
          <w:u w:val="single"/>
        </w:rPr>
        <w:t>杭州萧山国际机场T1T2T3航站楼漏水点专项维修项目</w:t>
      </w:r>
      <w:r>
        <w:rPr>
          <w:rFonts w:hint="eastAsia" w:ascii="仿宋_GB2312" w:hAnsi="仿宋_GB2312" w:eastAsia="仿宋_GB2312" w:cs="仿宋_GB2312"/>
          <w:color w:val="auto"/>
          <w:sz w:val="28"/>
          <w:szCs w:val="28"/>
        </w:rPr>
        <w:t>投标文件</w:t>
      </w:r>
    </w:p>
    <w:p>
      <w:pPr>
        <w:keepNext w:val="0"/>
        <w:keepLines w:val="0"/>
        <w:widowControl/>
        <w:kinsoku/>
        <w:wordWrap w:val="0"/>
        <w:overflowPunct/>
        <w:topLinePunct w:val="0"/>
        <w:bidi w:val="0"/>
        <w:adjustRightInd w:val="0"/>
        <w:snapToGrid w:val="0"/>
        <w:spacing w:line="360" w:lineRule="atLeast"/>
        <w:ind w:left="0" w:leftChars="0" w:right="0" w:rightChars="0" w:firstLine="560" w:firstLineChars="200"/>
        <w:textAlignment w:val="auto"/>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在</w:t>
      </w:r>
      <w:r>
        <w:rPr>
          <w:rFonts w:hint="eastAsia" w:ascii="仿宋_GB2312" w:hAnsi="仿宋_GB2312" w:eastAsia="仿宋_GB2312" w:cs="仿宋_GB2312"/>
          <w:color w:val="auto"/>
          <w:kern w:val="0"/>
          <w:sz w:val="28"/>
          <w:szCs w:val="28"/>
          <w:lang w:val="en-US" w:eastAsia="zh-CN"/>
        </w:rPr>
        <w:t>2023</w:t>
      </w:r>
      <w:r>
        <w:rPr>
          <w:rFonts w:hint="eastAsia" w:ascii="仿宋_GB2312" w:hAnsi="仿宋_GB2312" w:eastAsia="仿宋_GB2312" w:cs="仿宋_GB2312"/>
          <w:color w:val="auto"/>
          <w:kern w:val="0"/>
          <w:sz w:val="28"/>
          <w:szCs w:val="28"/>
        </w:rPr>
        <w:t>年</w:t>
      </w:r>
      <w:r>
        <w:rPr>
          <w:rFonts w:hint="eastAsia" w:ascii="仿宋_GB2312" w:hAnsi="仿宋_GB2312" w:eastAsia="仿宋_GB2312" w:cs="仿宋_GB2312"/>
          <w:color w:val="auto"/>
          <w:kern w:val="0"/>
          <w:sz w:val="28"/>
          <w:szCs w:val="28"/>
          <w:lang w:val="en-US" w:eastAsia="zh-CN"/>
        </w:rPr>
        <w:t>8</w:t>
      </w:r>
      <w:r>
        <w:rPr>
          <w:rFonts w:hint="eastAsia" w:ascii="仿宋_GB2312" w:hAnsi="仿宋_GB2312" w:eastAsia="仿宋_GB2312" w:cs="仿宋_GB2312"/>
          <w:color w:val="auto"/>
          <w:kern w:val="0"/>
          <w:sz w:val="28"/>
          <w:szCs w:val="28"/>
        </w:rPr>
        <w:t>月</w:t>
      </w:r>
      <w:r>
        <w:rPr>
          <w:rFonts w:hint="eastAsia" w:ascii="仿宋_GB2312" w:hAnsi="仿宋_GB2312" w:eastAsia="仿宋_GB2312" w:cs="仿宋_GB2312"/>
          <w:color w:val="auto"/>
          <w:kern w:val="0"/>
          <w:sz w:val="28"/>
          <w:szCs w:val="28"/>
          <w:lang w:val="en-US" w:eastAsia="zh-CN"/>
        </w:rPr>
        <w:t>7</w:t>
      </w:r>
      <w:r>
        <w:rPr>
          <w:rFonts w:hint="eastAsia" w:ascii="仿宋_GB2312" w:hAnsi="仿宋_GB2312" w:eastAsia="仿宋_GB2312" w:cs="仿宋_GB2312"/>
          <w:color w:val="auto"/>
          <w:kern w:val="0"/>
          <w:sz w:val="28"/>
          <w:szCs w:val="28"/>
        </w:rPr>
        <w:t>日</w:t>
      </w:r>
      <w:r>
        <w:rPr>
          <w:rFonts w:hint="eastAsia" w:ascii="仿宋_GB2312" w:hAnsi="仿宋_GB2312" w:eastAsia="仿宋_GB2312" w:cs="仿宋_GB2312"/>
          <w:color w:val="auto"/>
          <w:kern w:val="0"/>
          <w:sz w:val="28"/>
          <w:szCs w:val="28"/>
          <w:lang w:val="en-US" w:eastAsia="zh-CN"/>
        </w:rPr>
        <w:t>9</w:t>
      </w:r>
      <w:r>
        <w:rPr>
          <w:rFonts w:hint="eastAsia" w:ascii="仿宋_GB2312" w:hAnsi="仿宋_GB2312" w:eastAsia="仿宋_GB2312" w:cs="仿宋_GB2312"/>
          <w:color w:val="auto"/>
          <w:kern w:val="0"/>
          <w:sz w:val="28"/>
          <w:szCs w:val="28"/>
        </w:rPr>
        <w:t>时</w:t>
      </w:r>
      <w:r>
        <w:rPr>
          <w:rFonts w:hint="eastAsia" w:ascii="仿宋_GB2312" w:hAnsi="仿宋_GB2312" w:eastAsia="仿宋_GB2312" w:cs="仿宋_GB2312"/>
          <w:color w:val="auto"/>
          <w:kern w:val="0"/>
          <w:sz w:val="28"/>
          <w:szCs w:val="28"/>
          <w:lang w:val="en-US" w:eastAsia="zh-CN"/>
        </w:rPr>
        <w:t>00</w:t>
      </w:r>
      <w:r>
        <w:rPr>
          <w:rFonts w:hint="eastAsia" w:ascii="仿宋_GB2312" w:hAnsi="仿宋_GB2312" w:eastAsia="仿宋_GB2312" w:cs="仿宋_GB2312"/>
          <w:color w:val="auto"/>
          <w:kern w:val="0"/>
          <w:sz w:val="28"/>
          <w:szCs w:val="28"/>
        </w:rPr>
        <w:t>分（即开标时间）前不得开启</w:t>
      </w:r>
    </w:p>
    <w:p>
      <w:pPr>
        <w:keepNext w:val="0"/>
        <w:keepLines w:val="0"/>
        <w:widowControl/>
        <w:kinsoku/>
        <w:wordWrap w:val="0"/>
        <w:overflowPunct/>
        <w:topLinePunct w:val="0"/>
        <w:bidi w:val="0"/>
        <w:adjustRightInd w:val="0"/>
        <w:snapToGrid w:val="0"/>
        <w:spacing w:line="360" w:lineRule="atLeast"/>
        <w:ind w:left="0" w:leftChars="0" w:right="0" w:rightChars="0"/>
        <w:textAlignment w:val="auto"/>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七、开标</w:t>
      </w:r>
    </w:p>
    <w:p>
      <w:pPr>
        <w:keepNext w:val="0"/>
        <w:keepLines w:val="0"/>
        <w:kinsoku/>
        <w:wordWrap w:val="0"/>
        <w:overflowPunct/>
        <w:topLinePunct w:val="0"/>
        <w:autoSpaceDE w:val="0"/>
        <w:autoSpaceDN w:val="0"/>
        <w:bidi w:val="0"/>
        <w:adjustRightInd w:val="0"/>
        <w:snapToGrid w:val="0"/>
        <w:spacing w:line="360" w:lineRule="atLeast"/>
        <w:ind w:left="0" w:leftChars="0" w:right="0" w:rightChars="0" w:firstLine="560" w:firstLineChars="200"/>
        <w:textAlignment w:val="auto"/>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（1）开标时间同投标截止时间，开标地点为</w:t>
      </w:r>
      <w:r>
        <w:rPr>
          <w:rFonts w:hint="eastAsia" w:ascii="仿宋_GB2312" w:hAnsi="仿宋_GB2312" w:eastAsia="仿宋_GB2312" w:cs="仿宋_GB2312"/>
          <w:b/>
          <w:color w:val="auto"/>
          <w:sz w:val="28"/>
          <w:szCs w:val="28"/>
        </w:rPr>
        <w:t>杭州萧山国际机场翔越路综合服务楼园区招标中心。</w:t>
      </w:r>
    </w:p>
    <w:p>
      <w:pPr>
        <w:keepNext w:val="0"/>
        <w:keepLines w:val="0"/>
        <w:widowControl/>
        <w:kinsoku/>
        <w:wordWrap w:val="0"/>
        <w:overflowPunct/>
        <w:topLinePunct w:val="0"/>
        <w:bidi w:val="0"/>
        <w:adjustRightInd w:val="0"/>
        <w:snapToGrid w:val="0"/>
        <w:spacing w:line="360" w:lineRule="atLeast"/>
        <w:ind w:left="0" w:leftChars="0" w:right="0" w:rightChars="0" w:firstLine="560" w:firstLineChars="200"/>
        <w:textAlignment w:val="auto"/>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（2）由投标人或者其集体推选的代表检查投标文件的密封情况，开标顺序按照后送达先开的顺序。</w:t>
      </w:r>
    </w:p>
    <w:p>
      <w:pPr>
        <w:keepNext w:val="0"/>
        <w:keepLines w:val="0"/>
        <w:widowControl/>
        <w:kinsoku/>
        <w:wordWrap w:val="0"/>
        <w:overflowPunct/>
        <w:topLinePunct w:val="0"/>
        <w:bidi w:val="0"/>
        <w:adjustRightInd w:val="0"/>
        <w:snapToGrid w:val="0"/>
        <w:spacing w:line="360" w:lineRule="atLeast"/>
        <w:ind w:left="0" w:leftChars="0" w:right="0" w:rightChars="0"/>
        <w:textAlignment w:val="auto"/>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八、其他说明</w:t>
      </w:r>
    </w:p>
    <w:p>
      <w:pPr>
        <w:keepNext w:val="0"/>
        <w:keepLines w:val="0"/>
        <w:widowControl/>
        <w:kinsoku/>
        <w:wordWrap w:val="0"/>
        <w:overflowPunct/>
        <w:topLinePunct w:val="0"/>
        <w:bidi w:val="0"/>
        <w:adjustRightInd w:val="0"/>
        <w:snapToGrid w:val="0"/>
        <w:spacing w:line="360" w:lineRule="atLeast"/>
        <w:ind w:left="0" w:leftChars="0" w:right="0" w:rightChars="0" w:firstLine="560" w:firstLineChars="200"/>
        <w:textAlignment w:val="auto"/>
        <w:rPr>
          <w:rFonts w:ascii="仿宋_GB2312" w:hAnsi="仿宋_GB2312" w:eastAsia="仿宋_GB2312" w:cs="仿宋_GB2312"/>
          <w:b/>
          <w:bCs/>
          <w:color w:val="auto"/>
          <w:kern w:val="0"/>
          <w:sz w:val="28"/>
          <w:szCs w:val="28"/>
        </w:rPr>
      </w:pPr>
      <w:r>
        <w:rPr>
          <w:rFonts w:hint="eastAsia" w:ascii="仿宋_GB2312" w:hAnsi="仿宋_GB2312" w:eastAsia="仿宋_GB2312" w:cs="仿宋_GB2312"/>
          <w:color w:val="auto"/>
          <w:kern w:val="0"/>
          <w:sz w:val="28"/>
          <w:szCs w:val="28"/>
        </w:rPr>
        <w:t>（1）采取公开招标和资格后审。</w:t>
      </w:r>
    </w:p>
    <w:p>
      <w:pPr>
        <w:keepNext w:val="0"/>
        <w:keepLines w:val="0"/>
        <w:widowControl/>
        <w:kinsoku/>
        <w:wordWrap w:val="0"/>
        <w:overflowPunct/>
        <w:topLinePunct w:val="0"/>
        <w:bidi w:val="0"/>
        <w:adjustRightInd w:val="0"/>
        <w:snapToGrid w:val="0"/>
        <w:spacing w:line="360" w:lineRule="atLeast"/>
        <w:ind w:left="0" w:leftChars="0" w:right="0" w:rightChars="0" w:firstLine="560" w:firstLineChars="200"/>
        <w:textAlignment w:val="auto"/>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（2）评标委员会由3人及以上单数构成。</w:t>
      </w:r>
    </w:p>
    <w:p>
      <w:pPr>
        <w:keepNext w:val="0"/>
        <w:keepLines w:val="0"/>
        <w:widowControl/>
        <w:kinsoku/>
        <w:wordWrap w:val="0"/>
        <w:overflowPunct/>
        <w:topLinePunct w:val="0"/>
        <w:bidi w:val="0"/>
        <w:adjustRightInd w:val="0"/>
        <w:snapToGrid w:val="0"/>
        <w:spacing w:line="360" w:lineRule="atLeast"/>
        <w:ind w:left="0" w:leftChars="0" w:right="0" w:rightChars="0" w:firstLine="560" w:firstLineChars="200"/>
        <w:textAlignment w:val="auto"/>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（3）评标委员会成员招标人自行组建。</w:t>
      </w:r>
    </w:p>
    <w:p>
      <w:pPr>
        <w:keepNext w:val="0"/>
        <w:keepLines w:val="0"/>
        <w:widowControl/>
        <w:kinsoku/>
        <w:wordWrap w:val="0"/>
        <w:overflowPunct/>
        <w:topLinePunct w:val="0"/>
        <w:bidi w:val="0"/>
        <w:adjustRightInd w:val="0"/>
        <w:snapToGrid w:val="0"/>
        <w:spacing w:line="360" w:lineRule="atLeast"/>
        <w:ind w:left="0" w:leftChars="0" w:right="0" w:rightChars="0" w:firstLine="560" w:firstLineChars="200"/>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（4）评标委员会推荐的中标候选人数：1人。</w:t>
      </w:r>
    </w:p>
    <w:p>
      <w:pPr>
        <w:keepNext w:val="0"/>
        <w:keepLines w:val="0"/>
        <w:widowControl/>
        <w:kinsoku/>
        <w:wordWrap w:val="0"/>
        <w:overflowPunct/>
        <w:topLinePunct w:val="0"/>
        <w:bidi w:val="0"/>
        <w:adjustRightInd w:val="0"/>
        <w:snapToGrid w:val="0"/>
        <w:spacing w:line="360" w:lineRule="atLeast"/>
        <w:ind w:left="0" w:leftChars="0" w:right="0" w:rightChars="0" w:firstLine="560" w:firstLineChars="200"/>
        <w:textAlignment w:val="auto"/>
        <w:rPr>
          <w:rFonts w:ascii="仿宋_GB2312" w:hAnsi="仿宋_GB2312" w:eastAsia="仿宋_GB2312" w:cs="仿宋_GB2312"/>
          <w:color w:val="auto"/>
          <w:kern w:val="0"/>
          <w:sz w:val="28"/>
          <w:szCs w:val="28"/>
        </w:rPr>
      </w:pPr>
      <w:bookmarkStart w:id="4" w:name="_Toc19218"/>
      <w:bookmarkStart w:id="5" w:name="_Toc3775"/>
      <w:r>
        <w:rPr>
          <w:rFonts w:hint="eastAsia" w:ascii="仿宋_GB2312" w:hAnsi="仿宋_GB2312" w:eastAsia="仿宋_GB2312" w:cs="仿宋_GB2312"/>
          <w:color w:val="auto"/>
          <w:kern w:val="0"/>
          <w:sz w:val="28"/>
          <w:szCs w:val="28"/>
        </w:rPr>
        <w:t>（5）</w:t>
      </w:r>
      <w:bookmarkEnd w:id="4"/>
      <w:bookmarkEnd w:id="5"/>
      <w:r>
        <w:rPr>
          <w:rFonts w:hint="eastAsia" w:ascii="仿宋_GB2312" w:hAnsi="仿宋_GB2312" w:eastAsia="仿宋_GB2312" w:cs="仿宋_GB2312"/>
          <w:color w:val="auto"/>
          <w:kern w:val="0"/>
          <w:sz w:val="28"/>
          <w:szCs w:val="28"/>
        </w:rPr>
        <w:t>本次评标采用综合评估法推荐中标候选人。</w:t>
      </w:r>
    </w:p>
    <w:p>
      <w:pPr>
        <w:keepNext w:val="0"/>
        <w:keepLines w:val="0"/>
        <w:widowControl/>
        <w:kinsoku/>
        <w:wordWrap w:val="0"/>
        <w:overflowPunct/>
        <w:topLinePunct w:val="0"/>
        <w:bidi w:val="0"/>
        <w:snapToGrid w:val="0"/>
        <w:spacing w:line="360" w:lineRule="atLeast"/>
        <w:ind w:left="0" w:leftChars="0" w:right="0" w:rightChars="0"/>
        <w:jc w:val="left"/>
        <w:textAlignment w:val="auto"/>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九、重新招标和不再招标</w:t>
      </w:r>
    </w:p>
    <w:p>
      <w:pPr>
        <w:keepNext w:val="0"/>
        <w:keepLines w:val="0"/>
        <w:widowControl/>
        <w:kinsoku/>
        <w:wordWrap w:val="0"/>
        <w:overflowPunct/>
        <w:topLinePunct w:val="0"/>
        <w:bidi w:val="0"/>
        <w:adjustRightInd w:val="0"/>
        <w:snapToGrid w:val="0"/>
        <w:spacing w:line="360" w:lineRule="atLeast"/>
        <w:ind w:left="0" w:leftChars="0" w:right="0" w:rightChars="0" w:firstLine="560" w:firstLineChars="200"/>
        <w:textAlignment w:val="auto"/>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（1）重新招标</w:t>
      </w:r>
    </w:p>
    <w:p>
      <w:pPr>
        <w:keepNext w:val="0"/>
        <w:keepLines w:val="0"/>
        <w:widowControl/>
        <w:kinsoku/>
        <w:wordWrap w:val="0"/>
        <w:overflowPunct/>
        <w:topLinePunct w:val="0"/>
        <w:bidi w:val="0"/>
        <w:adjustRightInd w:val="0"/>
        <w:snapToGrid w:val="0"/>
        <w:spacing w:line="360" w:lineRule="atLeast"/>
        <w:ind w:left="0" w:leftChars="0" w:right="0" w:rightChars="0" w:firstLine="560" w:firstLineChars="200"/>
        <w:textAlignment w:val="auto"/>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有下列情形之一的，招标人将重新招标：</w:t>
      </w:r>
    </w:p>
    <w:p>
      <w:pPr>
        <w:keepNext w:val="0"/>
        <w:keepLines w:val="0"/>
        <w:widowControl/>
        <w:kinsoku/>
        <w:wordWrap w:val="0"/>
        <w:overflowPunct/>
        <w:topLinePunct w:val="0"/>
        <w:bidi w:val="0"/>
        <w:adjustRightInd w:val="0"/>
        <w:snapToGrid w:val="0"/>
        <w:spacing w:line="360" w:lineRule="atLeast"/>
        <w:ind w:left="0" w:leftChars="0" w:right="0" w:rightChars="0" w:firstLine="560" w:firstLineChars="200"/>
        <w:textAlignment w:val="auto"/>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fldChar w:fldCharType="begin"/>
      </w:r>
      <w:r>
        <w:rPr>
          <w:rFonts w:hint="eastAsia" w:ascii="仿宋_GB2312" w:hAnsi="仿宋_GB2312" w:eastAsia="仿宋_GB2312" w:cs="仿宋_GB2312"/>
          <w:color w:val="auto"/>
          <w:kern w:val="0"/>
          <w:sz w:val="28"/>
          <w:szCs w:val="28"/>
        </w:rPr>
        <w:instrText xml:space="preserve"> = 1 \* GB3 \* MERGEFORMAT </w:instrText>
      </w:r>
      <w:r>
        <w:rPr>
          <w:rFonts w:hint="eastAsia" w:ascii="仿宋_GB2312" w:hAnsi="仿宋_GB2312" w:eastAsia="仿宋_GB2312" w:cs="仿宋_GB2312"/>
          <w:color w:val="auto"/>
          <w:kern w:val="0"/>
          <w:sz w:val="28"/>
          <w:szCs w:val="28"/>
        </w:rPr>
        <w:fldChar w:fldCharType="separate"/>
      </w:r>
      <w:r>
        <w:rPr>
          <w:rFonts w:hint="eastAsia" w:ascii="仿宋_GB2312" w:hAnsi="仿宋_GB2312" w:eastAsia="仿宋_GB2312" w:cs="仿宋_GB2312"/>
          <w:color w:val="auto"/>
          <w:sz w:val="28"/>
          <w:szCs w:val="28"/>
        </w:rPr>
        <w:t>①</w:t>
      </w:r>
      <w:r>
        <w:rPr>
          <w:rFonts w:hint="eastAsia" w:ascii="仿宋_GB2312" w:hAnsi="仿宋_GB2312" w:eastAsia="仿宋_GB2312" w:cs="仿宋_GB2312"/>
          <w:color w:val="auto"/>
          <w:kern w:val="0"/>
          <w:sz w:val="28"/>
          <w:szCs w:val="28"/>
        </w:rPr>
        <w:fldChar w:fldCharType="end"/>
      </w:r>
      <w:r>
        <w:rPr>
          <w:rFonts w:hint="eastAsia" w:ascii="仿宋_GB2312" w:hAnsi="仿宋_GB2312" w:eastAsia="仿宋_GB2312" w:cs="仿宋_GB2312"/>
          <w:color w:val="auto"/>
          <w:kern w:val="0"/>
          <w:sz w:val="28"/>
          <w:szCs w:val="28"/>
        </w:rPr>
        <w:t>投标截止时间止，投标人少于3个的；</w:t>
      </w:r>
    </w:p>
    <w:p>
      <w:pPr>
        <w:keepNext w:val="0"/>
        <w:keepLines w:val="0"/>
        <w:widowControl/>
        <w:kinsoku/>
        <w:wordWrap w:val="0"/>
        <w:overflowPunct/>
        <w:topLinePunct w:val="0"/>
        <w:bidi w:val="0"/>
        <w:adjustRightInd w:val="0"/>
        <w:snapToGrid w:val="0"/>
        <w:spacing w:line="360" w:lineRule="atLeast"/>
        <w:ind w:left="0" w:leftChars="0" w:right="0" w:rightChars="0" w:firstLine="560" w:firstLineChars="200"/>
        <w:textAlignment w:val="auto"/>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fldChar w:fldCharType="begin"/>
      </w:r>
      <w:r>
        <w:rPr>
          <w:rFonts w:hint="eastAsia" w:ascii="仿宋_GB2312" w:hAnsi="仿宋_GB2312" w:eastAsia="仿宋_GB2312" w:cs="仿宋_GB2312"/>
          <w:color w:val="auto"/>
          <w:kern w:val="0"/>
          <w:sz w:val="28"/>
          <w:szCs w:val="28"/>
        </w:rPr>
        <w:instrText xml:space="preserve"> = 2 \* GB3 \* MERGEFORMAT </w:instrText>
      </w:r>
      <w:r>
        <w:rPr>
          <w:rFonts w:hint="eastAsia" w:ascii="仿宋_GB2312" w:hAnsi="仿宋_GB2312" w:eastAsia="仿宋_GB2312" w:cs="仿宋_GB2312"/>
          <w:color w:val="auto"/>
          <w:kern w:val="0"/>
          <w:sz w:val="28"/>
          <w:szCs w:val="28"/>
        </w:rPr>
        <w:fldChar w:fldCharType="separate"/>
      </w:r>
      <w:r>
        <w:rPr>
          <w:rFonts w:hint="eastAsia" w:ascii="仿宋_GB2312" w:hAnsi="仿宋_GB2312" w:eastAsia="仿宋_GB2312" w:cs="仿宋_GB2312"/>
          <w:color w:val="auto"/>
          <w:sz w:val="28"/>
          <w:szCs w:val="28"/>
        </w:rPr>
        <w:t>②</w:t>
      </w:r>
      <w:r>
        <w:rPr>
          <w:rFonts w:hint="eastAsia" w:ascii="仿宋_GB2312" w:hAnsi="仿宋_GB2312" w:eastAsia="仿宋_GB2312" w:cs="仿宋_GB2312"/>
          <w:color w:val="auto"/>
          <w:kern w:val="0"/>
          <w:sz w:val="28"/>
          <w:szCs w:val="28"/>
        </w:rPr>
        <w:fldChar w:fldCharType="end"/>
      </w:r>
      <w:r>
        <w:rPr>
          <w:rFonts w:hint="eastAsia" w:ascii="仿宋_GB2312" w:hAnsi="仿宋_GB2312" w:eastAsia="仿宋_GB2312" w:cs="仿宋_GB2312"/>
          <w:color w:val="auto"/>
          <w:kern w:val="0"/>
          <w:sz w:val="28"/>
          <w:szCs w:val="28"/>
        </w:rPr>
        <w:t>所有投标人的报价均偏高，招标人无法接受的；</w:t>
      </w:r>
    </w:p>
    <w:p>
      <w:pPr>
        <w:keepNext w:val="0"/>
        <w:keepLines w:val="0"/>
        <w:widowControl/>
        <w:kinsoku/>
        <w:wordWrap w:val="0"/>
        <w:overflowPunct/>
        <w:topLinePunct w:val="0"/>
        <w:bidi w:val="0"/>
        <w:adjustRightInd w:val="0"/>
        <w:snapToGrid w:val="0"/>
        <w:spacing w:line="360" w:lineRule="atLeast"/>
        <w:ind w:left="0" w:leftChars="0" w:right="0" w:rightChars="0" w:firstLine="560" w:firstLineChars="200"/>
        <w:textAlignment w:val="auto"/>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fldChar w:fldCharType="begin"/>
      </w:r>
      <w:r>
        <w:rPr>
          <w:rFonts w:hint="eastAsia" w:ascii="仿宋_GB2312" w:hAnsi="仿宋_GB2312" w:eastAsia="仿宋_GB2312" w:cs="仿宋_GB2312"/>
          <w:color w:val="auto"/>
          <w:kern w:val="0"/>
          <w:sz w:val="28"/>
          <w:szCs w:val="28"/>
        </w:rPr>
        <w:instrText xml:space="preserve"> = 3 \* GB3 \* MERGEFORMAT </w:instrText>
      </w:r>
      <w:r>
        <w:rPr>
          <w:rFonts w:hint="eastAsia" w:ascii="仿宋_GB2312" w:hAnsi="仿宋_GB2312" w:eastAsia="仿宋_GB2312" w:cs="仿宋_GB2312"/>
          <w:color w:val="auto"/>
          <w:kern w:val="0"/>
          <w:sz w:val="28"/>
          <w:szCs w:val="28"/>
        </w:rPr>
        <w:fldChar w:fldCharType="separate"/>
      </w:r>
      <w:r>
        <w:rPr>
          <w:rFonts w:hint="eastAsia" w:ascii="仿宋_GB2312" w:hAnsi="仿宋_GB2312" w:eastAsia="仿宋_GB2312" w:cs="仿宋_GB2312"/>
          <w:color w:val="auto"/>
          <w:sz w:val="28"/>
          <w:szCs w:val="28"/>
        </w:rPr>
        <w:t>③</w:t>
      </w:r>
      <w:r>
        <w:rPr>
          <w:rFonts w:hint="eastAsia" w:ascii="仿宋_GB2312" w:hAnsi="仿宋_GB2312" w:eastAsia="仿宋_GB2312" w:cs="仿宋_GB2312"/>
          <w:color w:val="auto"/>
          <w:kern w:val="0"/>
          <w:sz w:val="28"/>
          <w:szCs w:val="28"/>
        </w:rPr>
        <w:fldChar w:fldCharType="end"/>
      </w:r>
      <w:r>
        <w:rPr>
          <w:rFonts w:hint="eastAsia" w:ascii="仿宋_GB2312" w:hAnsi="仿宋_GB2312" w:eastAsia="仿宋_GB2312" w:cs="仿宋_GB2312"/>
          <w:color w:val="auto"/>
          <w:kern w:val="0"/>
          <w:sz w:val="28"/>
          <w:szCs w:val="28"/>
        </w:rPr>
        <w:t>经评标委员会评审后否决所有投标的。</w:t>
      </w:r>
    </w:p>
    <w:p>
      <w:pPr>
        <w:keepNext w:val="0"/>
        <w:keepLines w:val="0"/>
        <w:widowControl/>
        <w:kinsoku/>
        <w:wordWrap w:val="0"/>
        <w:overflowPunct/>
        <w:topLinePunct w:val="0"/>
        <w:bidi w:val="0"/>
        <w:adjustRightInd w:val="0"/>
        <w:snapToGrid w:val="0"/>
        <w:spacing w:line="360" w:lineRule="atLeast"/>
        <w:ind w:left="0" w:leftChars="0" w:right="0" w:rightChars="0"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投标人少于3个或经评审有效投标人少于3个，招标人不再另行发布通知，重新招标公告发布即表示本项目已进入新一轮招标。</w:t>
      </w:r>
    </w:p>
    <w:p>
      <w:pPr>
        <w:keepNext w:val="0"/>
        <w:keepLines w:val="0"/>
        <w:widowControl/>
        <w:kinsoku/>
        <w:wordWrap w:val="0"/>
        <w:overflowPunct/>
        <w:topLinePunct w:val="0"/>
        <w:bidi w:val="0"/>
        <w:adjustRightInd w:val="0"/>
        <w:snapToGrid w:val="0"/>
        <w:spacing w:line="360" w:lineRule="atLeast"/>
        <w:ind w:left="0" w:leftChars="0" w:right="0" w:rightChars="0" w:firstLine="560" w:firstLineChars="200"/>
        <w:textAlignment w:val="auto"/>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（2）不再招标</w:t>
      </w:r>
    </w:p>
    <w:p>
      <w:pPr>
        <w:keepNext w:val="0"/>
        <w:keepLines w:val="0"/>
        <w:widowControl/>
        <w:kinsoku/>
        <w:wordWrap w:val="0"/>
        <w:overflowPunct/>
        <w:topLinePunct w:val="0"/>
        <w:bidi w:val="0"/>
        <w:adjustRightInd w:val="0"/>
        <w:snapToGrid w:val="0"/>
        <w:spacing w:line="360" w:lineRule="atLeast"/>
        <w:ind w:left="0" w:leftChars="0" w:right="0" w:rightChars="0" w:firstLine="560" w:firstLineChars="200"/>
        <w:textAlignment w:val="auto"/>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重新招标后投标人仍少于3个或者所有投标被否决的，经批准后可采用其他方式实施。</w:t>
      </w:r>
    </w:p>
    <w:p>
      <w:pPr>
        <w:keepNext w:val="0"/>
        <w:keepLines w:val="0"/>
        <w:widowControl/>
        <w:kinsoku/>
        <w:wordWrap w:val="0"/>
        <w:overflowPunct/>
        <w:topLinePunct w:val="0"/>
        <w:bidi w:val="0"/>
        <w:snapToGrid w:val="0"/>
        <w:spacing w:line="360" w:lineRule="atLeast"/>
        <w:ind w:left="0" w:leftChars="0" w:right="0" w:rightChars="0"/>
        <w:jc w:val="left"/>
        <w:textAlignment w:val="auto"/>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十、发布公告的媒介</w:t>
      </w:r>
    </w:p>
    <w:p>
      <w:pPr>
        <w:keepNext w:val="0"/>
        <w:keepLines w:val="0"/>
        <w:kinsoku/>
        <w:wordWrap w:val="0"/>
        <w:overflowPunct/>
        <w:topLinePunct w:val="0"/>
        <w:bidi w:val="0"/>
        <w:snapToGrid w:val="0"/>
        <w:spacing w:line="360" w:lineRule="atLeast"/>
        <w:ind w:left="0" w:leftChars="0" w:right="0" w:rightChars="0" w:firstLine="560" w:firstLineChars="200"/>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本次招标公告在杭州萧山机场有限公司主页http://www.hzairport.com上进行发布。</w:t>
      </w:r>
    </w:p>
    <w:p>
      <w:pPr>
        <w:keepNext w:val="0"/>
        <w:keepLines w:val="0"/>
        <w:widowControl/>
        <w:kinsoku/>
        <w:wordWrap w:val="0"/>
        <w:overflowPunct/>
        <w:topLinePunct w:val="0"/>
        <w:bidi w:val="0"/>
        <w:snapToGrid w:val="0"/>
        <w:spacing w:line="360" w:lineRule="atLeast"/>
        <w:ind w:left="0" w:leftChars="0" w:right="0" w:rightChars="0"/>
        <w:jc w:val="left"/>
        <w:textAlignment w:val="auto"/>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十一、联系方式</w:t>
      </w:r>
    </w:p>
    <w:p>
      <w:pPr>
        <w:keepNext w:val="0"/>
        <w:keepLines w:val="0"/>
        <w:widowControl/>
        <w:kinsoku/>
        <w:wordWrap w:val="0"/>
        <w:overflowPunct/>
        <w:topLinePunct w:val="0"/>
        <w:bidi w:val="0"/>
        <w:snapToGrid w:val="0"/>
        <w:spacing w:line="360" w:lineRule="atLeast"/>
        <w:ind w:left="0" w:leftChars="0" w:right="0" w:rightChars="0" w:firstLine="560" w:firstLineChars="200"/>
        <w:jc w:val="left"/>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投标联系人：吴淼清        联系电话：0571-86662348 </w:t>
      </w:r>
    </w:p>
    <w:p>
      <w:pPr>
        <w:keepNext w:val="0"/>
        <w:keepLines w:val="0"/>
        <w:widowControl/>
        <w:kinsoku/>
        <w:wordWrap w:val="0"/>
        <w:overflowPunct/>
        <w:topLinePunct w:val="0"/>
        <w:bidi w:val="0"/>
        <w:snapToGrid w:val="0"/>
        <w:spacing w:line="360" w:lineRule="atLeast"/>
        <w:ind w:left="0" w:leftChars="0" w:right="0" w:rightChars="0" w:firstLine="560" w:firstLineChars="200"/>
        <w:jc w:val="left"/>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监督联系人：闻晓丽        联系电话：0571-86662361</w:t>
      </w:r>
    </w:p>
    <w:p>
      <w:pPr>
        <w:keepNext w:val="0"/>
        <w:keepLines w:val="0"/>
        <w:kinsoku/>
        <w:wordWrap w:val="0"/>
        <w:overflowPunct/>
        <w:topLinePunct w:val="0"/>
        <w:bidi w:val="0"/>
        <w:ind w:left="0" w:leftChars="0" w:right="0" w:rightChars="0"/>
        <w:textAlignment w:val="auto"/>
        <w:rPr>
          <w:color w:val="auto"/>
        </w:rPr>
      </w:pPr>
    </w:p>
    <w:p>
      <w:pPr>
        <w:widowControl/>
        <w:snapToGrid w:val="0"/>
        <w:spacing w:line="360" w:lineRule="atLeast"/>
        <w:ind w:firstLine="560" w:firstLineChars="200"/>
        <w:jc w:val="left"/>
        <w:rPr>
          <w:rFonts w:ascii="仿宋_GB2312" w:hAnsi="仿宋_GB2312" w:eastAsia="仿宋_GB2312" w:cs="仿宋_GB2312"/>
          <w:color w:val="000000" w:themeColor="text1"/>
          <w:sz w:val="28"/>
          <w:szCs w:val="28"/>
          <w14:textFill>
            <w14:solidFill>
              <w14:schemeClr w14:val="tx1"/>
            </w14:solidFill>
          </w14:textFill>
        </w:rPr>
      </w:pPr>
    </w:p>
    <w:p>
      <w:pPr>
        <w:spacing w:line="360" w:lineRule="atLeast"/>
        <w:rPr>
          <w:rFonts w:ascii="仿宋_GB2312" w:hAnsi="仿宋_GB2312" w:eastAsia="仿宋_GB2312" w:cs="仿宋_GB2312"/>
          <w:color w:val="000000" w:themeColor="text1"/>
          <w:sz w:val="28"/>
          <w:szCs w:val="28"/>
          <w14:textFill>
            <w14:solidFill>
              <w14:schemeClr w14:val="tx1"/>
            </w14:solidFill>
          </w14:textFill>
        </w:rPr>
      </w:pPr>
      <w:bookmarkStart w:id="30" w:name="_GoBack"/>
      <w:bookmarkEnd w:id="30"/>
    </w:p>
    <w:bookmarkEnd w:id="2"/>
    <w:bookmarkEnd w:id="3"/>
    <w:p>
      <w:pPr>
        <w:pStyle w:val="9"/>
        <w:pageBreakBefore/>
        <w:spacing w:before="0" w:after="0" w:line="560" w:lineRule="exact"/>
      </w:pPr>
      <w:bookmarkStart w:id="6" w:name="_Toc139785990"/>
      <w:bookmarkStart w:id="7" w:name="_Toc568"/>
      <w:bookmarkStart w:id="8" w:name="_Toc27752"/>
      <w:bookmarkStart w:id="9" w:name="_Toc448097404"/>
      <w:bookmarkStart w:id="10" w:name="_Toc24237"/>
      <w:r>
        <w:t>第</w:t>
      </w:r>
      <w:r>
        <w:rPr>
          <w:rFonts w:hint="eastAsia"/>
        </w:rPr>
        <w:t>二</w:t>
      </w:r>
      <w:r>
        <w:t xml:space="preserve">章 </w:t>
      </w:r>
      <w:r>
        <w:rPr>
          <w:rFonts w:hint="eastAsia"/>
        </w:rPr>
        <w:t>评标办法</w:t>
      </w:r>
      <w:bookmarkEnd w:id="6"/>
      <w:bookmarkEnd w:id="7"/>
    </w:p>
    <w:p>
      <w:pPr>
        <w:autoSpaceDE w:val="0"/>
        <w:autoSpaceDN w:val="0"/>
        <w:adjustRightInd w:val="0"/>
        <w:spacing w:line="360" w:lineRule="atLeast"/>
        <w:jc w:val="left"/>
        <w:rPr>
          <w:rFonts w:ascii="微软雅黑" w:hAnsi="Times New Roman" w:cs="微软雅黑"/>
          <w:kern w:val="0"/>
          <w:sz w:val="10"/>
          <w:szCs w:val="10"/>
        </w:rPr>
      </w:pPr>
    </w:p>
    <w:bookmarkEnd w:id="8"/>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根据《中华人民共和国招标投标法》、《中华人民共和国招标投标法实施条例》等有关规定，制定本办法。</w:t>
      </w:r>
    </w:p>
    <w:p>
      <w:pPr>
        <w:snapToGrid w:val="0"/>
        <w:spacing w:line="360" w:lineRule="atLeast"/>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一、评标原则</w:t>
      </w:r>
    </w:p>
    <w:p>
      <w:pPr>
        <w:snapToGrid w:val="0"/>
        <w:spacing w:line="360" w:lineRule="atLeas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评标应遵循公平、公正、科学、择优的原则。</w:t>
      </w:r>
    </w:p>
    <w:p>
      <w:pPr>
        <w:snapToGrid w:val="0"/>
        <w:spacing w:line="360" w:lineRule="atLeast"/>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二、评标组织</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评标工作由招标人依法组建的评标委员会负责。</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评标委员会对投标文件作出的评审结论，应当符合有关法律、法规、规章和招标文件的规定。</w:t>
      </w:r>
    </w:p>
    <w:p>
      <w:pPr>
        <w:adjustRightInd w:val="0"/>
        <w:snapToGrid w:val="0"/>
        <w:spacing w:line="360" w:lineRule="atLeast"/>
        <w:ind w:firstLine="560" w:firstLineChars="200"/>
        <w:rPr>
          <w:rFonts w:ascii="仿宋_GB2312" w:hAnsi="仿宋_GB2312" w:eastAsia="仿宋_GB2312" w:cs="仿宋_GB2312"/>
          <w:sz w:val="28"/>
          <w:szCs w:val="28"/>
        </w:rPr>
      </w:pPr>
      <w:bookmarkStart w:id="11" w:name="_Hlk47377016"/>
      <w:r>
        <w:rPr>
          <w:rFonts w:hint="eastAsia" w:ascii="仿宋_GB2312" w:hAnsi="仿宋_GB2312" w:eastAsia="仿宋_GB2312" w:cs="仿宋_GB2312"/>
          <w:sz w:val="28"/>
          <w:szCs w:val="28"/>
        </w:rPr>
        <w:t>在任何评标环节中，评标委员会就某项定性的评审结论意见不一致的，由评标委员会全体成员按照少数服从多数的原则，以记名投票方式表决。</w:t>
      </w:r>
      <w:bookmarkEnd w:id="11"/>
    </w:p>
    <w:p>
      <w:pPr>
        <w:snapToGrid w:val="0"/>
        <w:spacing w:line="360" w:lineRule="atLeast"/>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三、评标程序和内容</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(一)熟悉招标文件和评标办法；</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(二)投标文件的符合性评审；</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(三)投标文件的技术评审；</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(四)投标文件的商务评审；</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(五)必要时对投标文件中的问题进行询标；</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(六)根据评标办法和标准计算综合得分；</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(七)对投标人进行排序，推荐中标候选人，完成评标报告。</w:t>
      </w:r>
    </w:p>
    <w:p>
      <w:pPr>
        <w:adjustRightInd w:val="0"/>
        <w:snapToGrid w:val="0"/>
        <w:spacing w:line="360" w:lineRule="atLeast"/>
        <w:rPr>
          <w:rFonts w:ascii="仿宋_GB2312" w:hAnsi="仿宋_GB2312" w:eastAsia="仿宋_GB2312" w:cs="仿宋_GB2312"/>
          <w:b/>
          <w:sz w:val="28"/>
          <w:szCs w:val="28"/>
        </w:rPr>
      </w:pPr>
      <w:r>
        <w:rPr>
          <w:rFonts w:hint="eastAsia" w:ascii="仿宋_GB2312" w:hAnsi="仿宋_GB2312" w:eastAsia="仿宋_GB2312" w:cs="仿宋_GB2312"/>
          <w:b/>
          <w:sz w:val="28"/>
          <w:szCs w:val="28"/>
        </w:rPr>
        <w:t>四、评审细则</w:t>
      </w:r>
    </w:p>
    <w:p>
      <w:pPr>
        <w:adjustRightInd w:val="0"/>
        <w:snapToGrid w:val="0"/>
        <w:spacing w:line="360" w:lineRule="atLeast"/>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(一)符合性评审</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评标委员会应依照招标文件的要求和规定首先对投标人的投标资格和投标文件进行符合性评审，</w:t>
      </w:r>
      <w:r>
        <w:rPr>
          <w:rFonts w:hint="eastAsia" w:ascii="仿宋_GB2312" w:hAnsi="仿宋_GB2312" w:eastAsia="仿宋_GB2312" w:cs="仿宋_GB2312"/>
          <w:b/>
          <w:sz w:val="28"/>
          <w:szCs w:val="28"/>
        </w:rPr>
        <w:t>审查过程中评标委员会可以要求投标人提交有关证明和证件的原件，以便核验。</w:t>
      </w:r>
      <w:bookmarkStart w:id="12" w:name="_Hlk47377053"/>
      <w:r>
        <w:rPr>
          <w:rFonts w:hint="eastAsia" w:ascii="仿宋_GB2312" w:hAnsi="仿宋_GB2312" w:eastAsia="仿宋_GB2312" w:cs="仿宋_GB2312"/>
          <w:sz w:val="28"/>
          <w:szCs w:val="28"/>
        </w:rPr>
        <w:t>经评标委员会</w:t>
      </w:r>
      <w:bookmarkStart w:id="13" w:name="_Hlk47446073"/>
      <w:r>
        <w:rPr>
          <w:rFonts w:hint="eastAsia" w:ascii="仿宋_GB2312" w:hAnsi="仿宋_GB2312" w:eastAsia="仿宋_GB2312" w:cs="仿宋_GB2312"/>
          <w:sz w:val="28"/>
          <w:szCs w:val="28"/>
        </w:rPr>
        <w:t>评审后，符合性审查不予通过，不再进行下一步评审</w:t>
      </w:r>
      <w:bookmarkEnd w:id="13"/>
      <w:r>
        <w:rPr>
          <w:rFonts w:hint="eastAsia" w:ascii="仿宋_GB2312" w:hAnsi="仿宋_GB2312" w:eastAsia="仿宋_GB2312" w:cs="仿宋_GB2312"/>
          <w:sz w:val="28"/>
          <w:szCs w:val="28"/>
        </w:rPr>
        <w:t>。</w:t>
      </w:r>
      <w:bookmarkEnd w:id="12"/>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adjustRightInd w:val="0"/>
        <w:snapToGrid w:val="0"/>
        <w:spacing w:line="360" w:lineRule="atLeast"/>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(二)询标</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(1)投标文件中有含义不明确的内容、明显文字或计算错误，评标委员会认为需要投标人作出必要澄清、说明的，应当组织询标。</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(2)投标人所留联系方式无法联系上、在规定的时限内投标人不参加询标或不予答复的，投标人自行承担放弃询标机会的后果。</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(3)询标问题及投标人的澄清、说明不得超出投标文件的范围或者改变投标文件的实质性内容。</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(4)评标委员会不得暗示或者诱导投标人作出澄清、说明，不得接受投标人主动提出的澄清、说明。</w:t>
      </w:r>
    </w:p>
    <w:p>
      <w:pPr>
        <w:adjustRightInd w:val="0"/>
        <w:snapToGrid w:val="0"/>
        <w:spacing w:line="360" w:lineRule="atLeast"/>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(三)错误的修正</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投标报价中用数字表示的数额与用文字表示的数额不一致时，一律以投标函中用文字表示的投标报价为准，计算商务分时不作调整。</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当投标函中的投标报价与投标报价表中的投标报价不一致，或投标报价表中存在计算错误，或投标函载明的大写数额有明显错误，或投标报价存在其他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spacing w:line="360" w:lineRule="atLeas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该错误即使在评标阶段未被发现，招标人有权在合同签订前按以上原则对价格进行修正，并按修正后的价格进行签约，投标人不接受修正价格的，将取消其中标候选人或中标人资格。</w:t>
      </w:r>
    </w:p>
    <w:p>
      <w:pPr>
        <w:adjustRightInd w:val="0"/>
        <w:snapToGrid w:val="0"/>
        <w:spacing w:line="360" w:lineRule="atLeast"/>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(四)评标细则</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本次评标采用</w:t>
      </w:r>
      <w:r>
        <w:rPr>
          <w:rFonts w:hint="eastAsia" w:ascii="仿宋_GB2312" w:hAnsi="仿宋_GB2312" w:eastAsia="仿宋_GB2312" w:cs="仿宋_GB2312"/>
          <w:b/>
          <w:sz w:val="28"/>
          <w:szCs w:val="28"/>
        </w:rPr>
        <w:t>综合评估法</w:t>
      </w:r>
      <w:r>
        <w:rPr>
          <w:rFonts w:hint="eastAsia" w:ascii="仿宋_GB2312" w:hAnsi="仿宋_GB2312" w:eastAsia="仿宋_GB2312" w:cs="仿宋_GB2312"/>
          <w:sz w:val="28"/>
          <w:szCs w:val="28"/>
        </w:rPr>
        <w:t>，</w:t>
      </w:r>
      <w:bookmarkStart w:id="14" w:name="_Hlk47988709"/>
      <w:r>
        <w:rPr>
          <w:rFonts w:hint="eastAsia" w:ascii="仿宋_GB2312" w:hAnsi="仿宋_GB2312" w:eastAsia="仿宋_GB2312" w:cs="仿宋_GB2312"/>
          <w:sz w:val="28"/>
          <w:szCs w:val="28"/>
        </w:rPr>
        <w:t>评标委员会根据评审情况，对技术、商务等方面进行评审。评标委员会根据评审情况，对各投标人的投标文件进行打分。若评标委员会的评分表中计分不在分值范围内的，则该评分表无效。</w:t>
      </w:r>
      <w:bookmarkEnd w:id="14"/>
    </w:p>
    <w:p>
      <w:pPr>
        <w:spacing w:line="360" w:lineRule="atLeast"/>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 xml:space="preserve">1.投标文件的技术评审( </w:t>
      </w:r>
      <w:r>
        <w:rPr>
          <w:rFonts w:hint="eastAsia" w:ascii="仿宋_GB2312" w:hAnsi="仿宋_GB2312" w:eastAsia="仿宋_GB2312" w:cs="仿宋_GB2312"/>
          <w:b/>
          <w:sz w:val="28"/>
          <w:szCs w:val="28"/>
          <w:u w:val="single"/>
        </w:rPr>
        <w:t>40</w:t>
      </w:r>
      <w:r>
        <w:rPr>
          <w:rFonts w:hint="eastAsia" w:ascii="仿宋_GB2312" w:hAnsi="仿宋_GB2312" w:eastAsia="仿宋_GB2312" w:cs="仿宋_GB2312"/>
          <w:b/>
          <w:sz w:val="28"/>
          <w:szCs w:val="28"/>
        </w:rPr>
        <w:t xml:space="preserve"> 分)</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该评分分值由评标委员会成员独立打分(具体分值设定详见下表)，小数点后保留1位小数。每个投标人的最终技术得分为评标委员会打分的算术平均值(小数点后保留2位，第三位四舍五入)。</w:t>
      </w:r>
    </w:p>
    <w:tbl>
      <w:tblPr>
        <w:tblStyle w:val="12"/>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6998"/>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953" w:type="dxa"/>
            <w:vAlign w:val="center"/>
          </w:tcPr>
          <w:p>
            <w:pPr>
              <w:adjustRightInd w:val="0"/>
              <w:snapToGrid w:val="0"/>
              <w:spacing w:line="360" w:lineRule="atLeas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评分内容</w:t>
            </w:r>
          </w:p>
        </w:tc>
        <w:tc>
          <w:tcPr>
            <w:tcW w:w="6998" w:type="dxa"/>
            <w:vAlign w:val="center"/>
          </w:tcPr>
          <w:p>
            <w:pPr>
              <w:adjustRightInd w:val="0"/>
              <w:snapToGrid w:val="0"/>
              <w:spacing w:line="360" w:lineRule="atLeas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评分标准</w:t>
            </w:r>
          </w:p>
        </w:tc>
        <w:tc>
          <w:tcPr>
            <w:tcW w:w="904" w:type="dxa"/>
            <w:vAlign w:val="center"/>
          </w:tcPr>
          <w:p>
            <w:pPr>
              <w:tabs>
                <w:tab w:val="left" w:pos="1418"/>
              </w:tabs>
              <w:adjustRightInd w:val="0"/>
              <w:snapToGrid w:val="0"/>
              <w:spacing w:line="360" w:lineRule="atLeast"/>
              <w:jc w:val="center"/>
              <w:rPr>
                <w:rFonts w:ascii="仿宋_GB2312" w:hAnsi="仿宋_GB2312" w:eastAsia="仿宋_GB2312" w:cs="仿宋_GB2312"/>
                <w:b/>
                <w:bCs/>
                <w:spacing w:val="-6"/>
                <w:kern w:val="0"/>
                <w:sz w:val="28"/>
                <w:szCs w:val="28"/>
              </w:rPr>
            </w:pPr>
            <w:r>
              <w:rPr>
                <w:rFonts w:hint="eastAsia" w:ascii="仿宋_GB2312" w:hAnsi="仿宋_GB2312" w:eastAsia="仿宋_GB2312" w:cs="仿宋_GB2312"/>
                <w:b/>
                <w:bCs/>
                <w:spacing w:val="-6"/>
                <w:kern w:val="0"/>
                <w:sz w:val="28"/>
                <w:szCs w:val="28"/>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jc w:val="center"/>
        </w:trPr>
        <w:tc>
          <w:tcPr>
            <w:tcW w:w="1953" w:type="dxa"/>
            <w:vAlign w:val="center"/>
          </w:tcPr>
          <w:p>
            <w:pPr>
              <w:snapToGrid w:val="0"/>
              <w:spacing w:line="36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施工方案与技术措施</w:t>
            </w:r>
          </w:p>
        </w:tc>
        <w:tc>
          <w:tcPr>
            <w:tcW w:w="6998" w:type="dxa"/>
            <w:vAlign w:val="center"/>
          </w:tcPr>
          <w:p>
            <w:pPr>
              <w:snapToGrid w:val="0"/>
              <w:spacing w:line="36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施工方案与技术措施内容的完整性、针对性和可行性，</w:t>
            </w:r>
            <w:r>
              <w:rPr>
                <w:rFonts w:hint="eastAsia" w:ascii="仿宋_GB2312" w:hAnsi="仿宋_GB2312" w:eastAsia="仿宋_GB2312" w:cs="仿宋_GB2312"/>
                <w:sz w:val="28"/>
                <w:szCs w:val="28"/>
                <w:lang w:eastAsia="zh-Hans"/>
              </w:rPr>
              <w:t>特别是针对本项目重点难点部位</w:t>
            </w:r>
            <w:r>
              <w:rPr>
                <w:rFonts w:hint="eastAsia" w:ascii="仿宋_GB2312" w:hAnsi="仿宋_GB2312" w:eastAsia="仿宋_GB2312" w:cs="仿宋_GB2312"/>
                <w:sz w:val="28"/>
                <w:szCs w:val="28"/>
              </w:rPr>
              <w:t>；各投标文件横向比较，优秀的得4.2-6分；良好的2.1-4.2分；一般的得0-2.1分。</w:t>
            </w:r>
          </w:p>
        </w:tc>
        <w:tc>
          <w:tcPr>
            <w:tcW w:w="904" w:type="dxa"/>
            <w:vAlign w:val="center"/>
          </w:tcPr>
          <w:p>
            <w:pPr>
              <w:spacing w:line="36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1953" w:type="dxa"/>
            <w:vAlign w:val="center"/>
          </w:tcPr>
          <w:p>
            <w:pPr>
              <w:snapToGrid w:val="0"/>
              <w:spacing w:line="36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质量管理体系与措施</w:t>
            </w:r>
          </w:p>
        </w:tc>
        <w:tc>
          <w:tcPr>
            <w:tcW w:w="6998" w:type="dxa"/>
            <w:vAlign w:val="center"/>
          </w:tcPr>
          <w:p>
            <w:pPr>
              <w:snapToGrid w:val="0"/>
              <w:spacing w:line="36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施工质量的控制和检验手段是否科学、可靠；各投标文件横向比较，优秀的得4.2-6分；良好的2.1-4.2分；一般的得0-2.1分。</w:t>
            </w:r>
          </w:p>
        </w:tc>
        <w:tc>
          <w:tcPr>
            <w:tcW w:w="904" w:type="dxa"/>
            <w:vAlign w:val="center"/>
          </w:tcPr>
          <w:p>
            <w:pPr>
              <w:spacing w:line="36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blHeader/>
          <w:jc w:val="center"/>
        </w:trPr>
        <w:tc>
          <w:tcPr>
            <w:tcW w:w="1953" w:type="dxa"/>
            <w:vAlign w:val="center"/>
          </w:tcPr>
          <w:p>
            <w:pPr>
              <w:snapToGrid w:val="0"/>
              <w:spacing w:line="36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安全管理体系与措施</w:t>
            </w:r>
          </w:p>
        </w:tc>
        <w:tc>
          <w:tcPr>
            <w:tcW w:w="6998" w:type="dxa"/>
            <w:vAlign w:val="center"/>
          </w:tcPr>
          <w:p>
            <w:pPr>
              <w:snapToGrid w:val="0"/>
              <w:spacing w:line="36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安全、文明施工的保证措施是否科学、到位；各投标文件横向比较，优秀的得4.2-6分；良好的2.1-4.2分；一般的得0-2.1分。</w:t>
            </w:r>
          </w:p>
        </w:tc>
        <w:tc>
          <w:tcPr>
            <w:tcW w:w="904" w:type="dxa"/>
            <w:vAlign w:val="center"/>
          </w:tcPr>
          <w:p>
            <w:pPr>
              <w:spacing w:line="36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blHeader/>
          <w:jc w:val="center"/>
        </w:trPr>
        <w:tc>
          <w:tcPr>
            <w:tcW w:w="1953" w:type="dxa"/>
            <w:vAlign w:val="center"/>
          </w:tcPr>
          <w:p>
            <w:pPr>
              <w:snapToGrid w:val="0"/>
              <w:spacing w:line="36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环境保护管理体系与措施</w:t>
            </w:r>
          </w:p>
        </w:tc>
        <w:tc>
          <w:tcPr>
            <w:tcW w:w="6998" w:type="dxa"/>
            <w:vAlign w:val="center"/>
          </w:tcPr>
          <w:p>
            <w:pPr>
              <w:snapToGrid w:val="0"/>
              <w:spacing w:line="36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市政、市容、环保、消防等的保证措施是否科学、到位；各投标文件横向比较，优秀的得4.2-6分；良好的2.1-4.2分；一般的得0-2.1分。</w:t>
            </w:r>
          </w:p>
        </w:tc>
        <w:tc>
          <w:tcPr>
            <w:tcW w:w="904" w:type="dxa"/>
            <w:vAlign w:val="center"/>
          </w:tcPr>
          <w:p>
            <w:pPr>
              <w:spacing w:line="36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blHeader/>
          <w:jc w:val="center"/>
        </w:trPr>
        <w:tc>
          <w:tcPr>
            <w:tcW w:w="1953" w:type="dxa"/>
            <w:vAlign w:val="center"/>
          </w:tcPr>
          <w:p>
            <w:pPr>
              <w:snapToGrid w:val="0"/>
              <w:spacing w:line="36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工期保证体系及保证措施</w:t>
            </w:r>
          </w:p>
        </w:tc>
        <w:tc>
          <w:tcPr>
            <w:tcW w:w="6998" w:type="dxa"/>
            <w:vAlign w:val="center"/>
          </w:tcPr>
          <w:p>
            <w:pPr>
              <w:snapToGrid w:val="0"/>
              <w:spacing w:line="36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工期承诺及施工进度网络计划、关键节点和线路的技术保证措施是否具有针对性和可行性；现场施工不利条件对施工</w:t>
            </w:r>
            <w:r>
              <w:rPr>
                <w:rFonts w:hint="eastAsia" w:ascii="仿宋_GB2312" w:hAnsi="仿宋_GB2312" w:eastAsia="仿宋_GB2312" w:cs="仿宋_GB2312"/>
                <w:sz w:val="28"/>
                <w:szCs w:val="28"/>
                <w:lang w:eastAsia="zh-Hans"/>
              </w:rPr>
              <w:t>工期</w:t>
            </w:r>
            <w:r>
              <w:rPr>
                <w:rFonts w:hint="eastAsia" w:ascii="仿宋_GB2312" w:hAnsi="仿宋_GB2312" w:eastAsia="仿宋_GB2312" w:cs="仿宋_GB2312"/>
                <w:sz w:val="28"/>
                <w:szCs w:val="28"/>
              </w:rPr>
              <w:t>带来</w:t>
            </w:r>
            <w:r>
              <w:rPr>
                <w:rFonts w:hint="eastAsia" w:ascii="仿宋_GB2312" w:hAnsi="仿宋_GB2312" w:eastAsia="仿宋_GB2312" w:cs="仿宋_GB2312"/>
                <w:sz w:val="28"/>
                <w:szCs w:val="28"/>
                <w:lang w:eastAsia="zh-Hans"/>
              </w:rPr>
              <w:t>的</w:t>
            </w:r>
            <w:r>
              <w:rPr>
                <w:rFonts w:hint="eastAsia" w:ascii="仿宋_GB2312" w:hAnsi="仿宋_GB2312" w:eastAsia="仿宋_GB2312" w:cs="仿宋_GB2312"/>
                <w:sz w:val="28"/>
                <w:szCs w:val="28"/>
              </w:rPr>
              <w:t>影响</w:t>
            </w:r>
            <w:r>
              <w:rPr>
                <w:rFonts w:hint="eastAsia" w:ascii="仿宋_GB2312" w:hAnsi="仿宋_GB2312" w:eastAsia="仿宋_GB2312" w:cs="仿宋_GB2312"/>
                <w:sz w:val="28"/>
                <w:szCs w:val="28"/>
                <w:lang w:eastAsia="zh-Hans"/>
              </w:rPr>
              <w:t>及</w:t>
            </w:r>
            <w:r>
              <w:rPr>
                <w:rFonts w:hint="eastAsia" w:ascii="仿宋_GB2312" w:hAnsi="仿宋_GB2312" w:eastAsia="仿宋_GB2312" w:cs="仿宋_GB2312"/>
                <w:sz w:val="28"/>
                <w:szCs w:val="28"/>
              </w:rPr>
              <w:t>解决办法；配合建设方提请施工相关报批手续；各投标文件横向比较，优秀的得4.2-6分；良好的2.1-4.2分；一般的得0-2.1分。</w:t>
            </w:r>
          </w:p>
        </w:tc>
        <w:tc>
          <w:tcPr>
            <w:tcW w:w="904" w:type="dxa"/>
            <w:vAlign w:val="center"/>
          </w:tcPr>
          <w:p>
            <w:pPr>
              <w:spacing w:line="36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953" w:type="dxa"/>
            <w:vAlign w:val="center"/>
          </w:tcPr>
          <w:p>
            <w:pPr>
              <w:snapToGrid w:val="0"/>
              <w:spacing w:line="36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资源配置计划</w:t>
            </w:r>
          </w:p>
        </w:tc>
        <w:tc>
          <w:tcPr>
            <w:tcW w:w="6998" w:type="dxa"/>
            <w:vAlign w:val="center"/>
          </w:tcPr>
          <w:p>
            <w:pPr>
              <w:snapToGrid w:val="0"/>
              <w:spacing w:line="36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各专业工种的配置和劳动力的投入是否能满足工程的需要；施工机具和检验仪器的投入是否能够满足</w:t>
            </w:r>
            <w:r>
              <w:rPr>
                <w:rFonts w:hint="eastAsia" w:ascii="仿宋_GB2312" w:hAnsi="仿宋_GB2312" w:eastAsia="仿宋_GB2312" w:cs="仿宋_GB2312"/>
                <w:sz w:val="28"/>
                <w:szCs w:val="28"/>
                <w:lang w:eastAsia="zh-Hans"/>
              </w:rPr>
              <w:t>本项目需要</w:t>
            </w:r>
            <w:r>
              <w:rPr>
                <w:rFonts w:hint="eastAsia" w:ascii="仿宋_GB2312" w:hAnsi="仿宋_GB2312" w:eastAsia="仿宋_GB2312" w:cs="仿宋_GB2312"/>
                <w:sz w:val="28"/>
                <w:szCs w:val="28"/>
              </w:rPr>
              <w:t>；各投标文件横向比较，优秀的得4.2-6分；良好的2.1-4.2分；一般的得0-2.1分。</w:t>
            </w:r>
          </w:p>
        </w:tc>
        <w:tc>
          <w:tcPr>
            <w:tcW w:w="904" w:type="dxa"/>
            <w:vAlign w:val="center"/>
          </w:tcPr>
          <w:p>
            <w:pPr>
              <w:spacing w:line="36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953" w:type="dxa"/>
            <w:vAlign w:val="center"/>
          </w:tcPr>
          <w:p>
            <w:pPr>
              <w:adjustRightInd w:val="0"/>
              <w:snapToGrid w:val="0"/>
              <w:spacing w:line="36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设备材料</w:t>
            </w:r>
          </w:p>
        </w:tc>
        <w:tc>
          <w:tcPr>
            <w:tcW w:w="6998" w:type="dxa"/>
            <w:vAlign w:val="center"/>
          </w:tcPr>
          <w:p>
            <w:pPr>
              <w:adjustRightInd w:val="0"/>
              <w:snapToGrid w:val="0"/>
              <w:spacing w:line="36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投标人所使用的主要设备材料根据投标人提供的证明文件进行综合打分，优秀的得2.8-4分；良好的1.4-2.8分；一般的得0-1.4分。</w:t>
            </w:r>
          </w:p>
        </w:tc>
        <w:tc>
          <w:tcPr>
            <w:tcW w:w="904" w:type="dxa"/>
            <w:vAlign w:val="center"/>
          </w:tcPr>
          <w:p>
            <w:pPr>
              <w:spacing w:line="36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0-4</w:t>
            </w:r>
          </w:p>
        </w:tc>
      </w:tr>
    </w:tbl>
    <w:p>
      <w:pPr>
        <w:adjustRightInd w:val="0"/>
        <w:snapToGrid w:val="0"/>
        <w:spacing w:line="360" w:lineRule="atLeast"/>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2.投标文件的商务报价评审(</w:t>
      </w:r>
      <w:r>
        <w:rPr>
          <w:rFonts w:hint="eastAsia" w:ascii="仿宋_GB2312" w:hAnsi="仿宋_GB2312" w:eastAsia="仿宋_GB2312" w:cs="仿宋_GB2312"/>
          <w:b/>
          <w:sz w:val="28"/>
          <w:szCs w:val="28"/>
          <w:u w:val="single"/>
        </w:rPr>
        <w:t xml:space="preserve"> 60 </w:t>
      </w:r>
      <w:r>
        <w:rPr>
          <w:rFonts w:hint="eastAsia" w:ascii="仿宋_GB2312" w:hAnsi="仿宋_GB2312" w:eastAsia="仿宋_GB2312" w:cs="仿宋_GB2312"/>
          <w:b/>
          <w:sz w:val="28"/>
          <w:szCs w:val="28"/>
        </w:rPr>
        <w:t>分)</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(1)由评标委员会全体成员对投标文件的商务报价进行统一评审。评标委员会应对报价的范围、数量、单价、费用组成和总价等进行全面审阅和对比分析，找出报价差异的原因及存在的问题。</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(2)投标报价</w:t>
      </w:r>
      <w:r>
        <w:rPr>
          <w:rFonts w:hint="eastAsia" w:ascii="仿宋_GB2312" w:hAnsi="仿宋_GB2312" w:eastAsia="仿宋_GB2312" w:cs="仿宋_GB2312"/>
          <w:b/>
          <w:bCs/>
          <w:sz w:val="28"/>
          <w:szCs w:val="28"/>
        </w:rPr>
        <w:t>扣除税金(按投标函承诺的增值税税率扣减)</w:t>
      </w:r>
      <w:r>
        <w:rPr>
          <w:rFonts w:hint="eastAsia" w:ascii="仿宋_GB2312" w:hAnsi="仿宋_GB2312" w:eastAsia="仿宋_GB2312" w:cs="仿宋_GB2312"/>
          <w:sz w:val="28"/>
          <w:szCs w:val="28"/>
        </w:rPr>
        <w:t>后为评标价(即不含税价)。</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(3)评标基准价由评标委员会依据下述方法计算，除计算差错外，确认后的评标基准价在本次招标期间保持不变。</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计算差错，仅限于以下两种情况：(1)纯算术性四则运算差错；(2)未按约定的计算方法，多计或者少计投标人报价的。由于评标差错，导致否决投标错误，重新评标纠正等其他情况，不属于计算差错。</w:t>
      </w:r>
    </w:p>
    <w:p>
      <w:pPr>
        <w:numPr>
          <w:ilvl w:val="0"/>
          <w:numId w:val="4"/>
        </w:num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评分范围：通过符合性审查的所有投标文件进入评分范围(下称有效评标价)。</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(5)报价平均值：有效评标价的算术平均值为报价平均值(有效评标价在5个及以上时，去除一个最高价和一个最低价；有效评标价在8个及以上时，去除一个最高价、一个次高价和一个最低价、一个次低价)。</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(6)评标基准价：报价平均值与有效评标价中的次低评标价(不足4个的与最低评标价)的算术平均值为评标基准价。</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(7)根据投标文件的有效评标价与评标基准价对比，计算投标人的商务报价的得分值。即：</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a.有效评标价等于评标基准价时，得满分；</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b.有效评标价每低于评标基准价1个百分点，扣0.5分；</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c.有效评标价每高于评标基准价1个百分点，扣1分。</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以上报价得分不足一个百分点时，使用直线插入法计算，保留小数2位。</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投标文件的商务标评分不足30分的，计为30分。</w:t>
      </w:r>
    </w:p>
    <w:p>
      <w:pPr>
        <w:adjustRightInd w:val="0"/>
        <w:snapToGrid w:val="0"/>
        <w:spacing w:line="360" w:lineRule="atLeast"/>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3.投标文件的综合得分：每个投标人综合得分=技术分+商务分。</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4.对投标人进行排序，推荐中标候选人</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评标委员会根据综合得分对进入评分范围的投标文件按综合得分由高到低进行排序，综合得分相同时，评标价低者优先；综合得分、评标价均相同时，由评标委员会通过抽签(或记名投票表决)方式排序。</w:t>
      </w:r>
    </w:p>
    <w:p>
      <w:pPr>
        <w:adjustRightInd w:val="0"/>
        <w:snapToGrid w:val="0"/>
        <w:spacing w:line="360" w:lineRule="atLeast"/>
        <w:rPr>
          <w:rFonts w:ascii="仿宋_GB2312" w:hAnsi="仿宋_GB2312" w:eastAsia="仿宋_GB2312" w:cs="仿宋_GB2312"/>
          <w:b/>
          <w:sz w:val="28"/>
          <w:szCs w:val="28"/>
        </w:rPr>
      </w:pPr>
      <w:r>
        <w:rPr>
          <w:rFonts w:hint="eastAsia" w:ascii="仿宋_GB2312" w:hAnsi="仿宋_GB2312" w:eastAsia="仿宋_GB2312" w:cs="仿宋_GB2312"/>
          <w:b/>
          <w:sz w:val="28"/>
          <w:szCs w:val="28"/>
        </w:rPr>
        <w:t>五、完成评标报告</w:t>
      </w:r>
    </w:p>
    <w:p>
      <w:pPr>
        <w:adjustRightInd w:val="0"/>
        <w:snapToGrid w:val="0"/>
        <w:spacing w:line="360" w:lineRule="atLeast"/>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(一)评标委员会应当向招标人提交书面评标报告</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atLeast"/>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(二)评标报告应包括以下内容：</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1、开标记录；</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2、评标内容、过程和结果；</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3、询标澄清纪要(若有)；</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4、否决投标情况说明及依据；</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5、推荐中标候选人；</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6、其他建议。</w:t>
      </w:r>
    </w:p>
    <w:p>
      <w:pPr>
        <w:pStyle w:val="9"/>
        <w:spacing w:before="0" w:after="0" w:line="360" w:lineRule="atLeast"/>
      </w:pPr>
      <w:r>
        <w:rPr>
          <w:rFonts w:ascii="宋体" w:hAnsi="宋体" w:cs="宋体"/>
          <w:sz w:val="22"/>
        </w:rPr>
        <w:br w:type="page"/>
      </w:r>
    </w:p>
    <w:p>
      <w:pPr>
        <w:pStyle w:val="9"/>
        <w:spacing w:before="0" w:after="0" w:line="360" w:lineRule="atLeast"/>
        <w:rPr>
          <w:rFonts w:ascii="宋体" w:hAnsi="宋体" w:cs="宋体"/>
          <w:sz w:val="28"/>
          <w:szCs w:val="20"/>
        </w:rPr>
      </w:pPr>
      <w:bookmarkStart w:id="15" w:name="_Toc139785991"/>
      <w:r>
        <w:rPr>
          <w:rFonts w:hint="eastAsia"/>
        </w:rPr>
        <w:t>第三章</w:t>
      </w:r>
      <w:r>
        <w:t xml:space="preserve"> </w:t>
      </w:r>
      <w:r>
        <w:rPr>
          <w:rFonts w:hint="eastAsia"/>
        </w:rPr>
        <w:t>合同条款及格式</w:t>
      </w:r>
      <w:bookmarkEnd w:id="9"/>
      <w:bookmarkEnd w:id="15"/>
      <w:bookmarkStart w:id="16" w:name="_Toc448097405"/>
    </w:p>
    <w:bookmarkEnd w:id="16"/>
    <w:p>
      <w:pPr>
        <w:spacing w:line="560" w:lineRule="exact"/>
        <w:jc w:val="right"/>
        <w:rPr>
          <w:rFonts w:ascii="仿宋_GB2312" w:hAnsi="仿宋_GB2312" w:eastAsia="仿宋_GB2312" w:cs="仿宋_GB2312"/>
          <w:sz w:val="28"/>
          <w:szCs w:val="28"/>
        </w:rPr>
      </w:pPr>
      <w:bookmarkStart w:id="17" w:name="_Toc448097407"/>
      <w:r>
        <w:rPr>
          <w:rFonts w:hint="eastAsia" w:ascii="仿宋_GB2312" w:hAnsi="仿宋_GB2312" w:eastAsia="仿宋_GB2312" w:cs="仿宋_GB2312"/>
          <w:bCs/>
          <w:sz w:val="28"/>
          <w:szCs w:val="28"/>
        </w:rPr>
        <w:t>合同编号：【        】</w:t>
      </w:r>
    </w:p>
    <w:p>
      <w:pPr>
        <w:spacing w:line="560" w:lineRule="exact"/>
        <w:jc w:val="center"/>
        <w:rPr>
          <w:rFonts w:ascii="仿宋" w:hAnsi="仿宋" w:eastAsia="仿宋" w:cs="仿宋"/>
          <w:sz w:val="23"/>
          <w:szCs w:val="23"/>
        </w:rPr>
      </w:pPr>
    </w:p>
    <w:p>
      <w:pPr>
        <w:spacing w:line="560" w:lineRule="exact"/>
        <w:jc w:val="center"/>
        <w:rPr>
          <w:rFonts w:ascii="仿宋" w:hAnsi="仿宋" w:eastAsia="仿宋" w:cs="仿宋"/>
          <w:sz w:val="23"/>
          <w:szCs w:val="23"/>
        </w:rPr>
      </w:pPr>
    </w:p>
    <w:p>
      <w:pPr>
        <w:spacing w:line="560" w:lineRule="exact"/>
        <w:jc w:val="center"/>
        <w:rPr>
          <w:rFonts w:ascii="仿宋" w:hAnsi="仿宋" w:eastAsia="仿宋" w:cs="仿宋"/>
          <w:sz w:val="23"/>
          <w:szCs w:val="23"/>
        </w:rPr>
      </w:pPr>
    </w:p>
    <w:p>
      <w:pPr>
        <w:spacing w:line="560" w:lineRule="exact"/>
        <w:jc w:val="center"/>
        <w:rPr>
          <w:rFonts w:ascii="仿宋" w:hAnsi="仿宋" w:eastAsia="仿宋" w:cs="仿宋"/>
          <w:sz w:val="23"/>
          <w:szCs w:val="23"/>
        </w:rPr>
      </w:pPr>
    </w:p>
    <w:p>
      <w:pPr>
        <w:spacing w:line="560" w:lineRule="exact"/>
        <w:jc w:val="center"/>
        <w:rPr>
          <w:rFonts w:ascii="黑体" w:hAnsi="黑体" w:eastAsia="黑体" w:cs="黑体"/>
          <w:b/>
          <w:bCs/>
          <w:sz w:val="44"/>
          <w:szCs w:val="44"/>
        </w:rPr>
      </w:pPr>
      <w:r>
        <w:rPr>
          <w:rFonts w:hint="eastAsia" w:ascii="黑体" w:hAnsi="黑体" w:eastAsia="黑体" w:cs="黑体"/>
          <w:b/>
          <w:bCs/>
          <w:sz w:val="44"/>
          <w:szCs w:val="44"/>
        </w:rPr>
        <w:t>杭州萧山国际机场T1T2T3航站楼漏水点专项维修项目施工合同</w:t>
      </w:r>
    </w:p>
    <w:p>
      <w:pPr>
        <w:spacing w:line="560" w:lineRule="exact"/>
        <w:ind w:firstLine="2070" w:firstLineChars="900"/>
        <w:rPr>
          <w:rFonts w:ascii="黑体" w:hAnsi="黑体" w:eastAsia="黑体" w:cs="黑体"/>
          <w:sz w:val="23"/>
          <w:szCs w:val="23"/>
        </w:rPr>
      </w:pPr>
    </w:p>
    <w:p>
      <w:pPr>
        <w:spacing w:line="560" w:lineRule="exact"/>
        <w:ind w:firstLine="2070" w:firstLineChars="900"/>
        <w:rPr>
          <w:rFonts w:ascii="黑体" w:hAnsi="黑体" w:eastAsia="黑体" w:cs="黑体"/>
          <w:sz w:val="23"/>
          <w:szCs w:val="23"/>
        </w:rPr>
      </w:pPr>
    </w:p>
    <w:p>
      <w:pPr>
        <w:spacing w:line="560" w:lineRule="exact"/>
        <w:ind w:firstLine="2070" w:firstLineChars="900"/>
        <w:rPr>
          <w:rFonts w:ascii="黑体" w:hAnsi="黑体" w:eastAsia="黑体" w:cs="黑体"/>
          <w:sz w:val="23"/>
          <w:szCs w:val="23"/>
        </w:rPr>
      </w:pPr>
    </w:p>
    <w:p>
      <w:pPr>
        <w:spacing w:line="560" w:lineRule="exact"/>
        <w:ind w:firstLine="2070" w:firstLineChars="900"/>
        <w:rPr>
          <w:rFonts w:ascii="黑体" w:hAnsi="黑体" w:eastAsia="黑体" w:cs="黑体"/>
          <w:sz w:val="23"/>
          <w:szCs w:val="23"/>
        </w:rPr>
      </w:pPr>
    </w:p>
    <w:p>
      <w:pPr>
        <w:spacing w:line="560" w:lineRule="exact"/>
        <w:ind w:firstLine="2070" w:firstLineChars="900"/>
        <w:rPr>
          <w:rFonts w:ascii="黑体" w:hAnsi="黑体" w:eastAsia="黑体" w:cs="黑体"/>
          <w:sz w:val="23"/>
          <w:szCs w:val="23"/>
        </w:rPr>
      </w:pPr>
    </w:p>
    <w:p>
      <w:pPr>
        <w:spacing w:line="560" w:lineRule="exact"/>
        <w:ind w:firstLine="2070" w:firstLineChars="900"/>
        <w:rPr>
          <w:rFonts w:ascii="黑体" w:hAnsi="黑体" w:eastAsia="黑体" w:cs="黑体"/>
          <w:sz w:val="23"/>
          <w:szCs w:val="23"/>
        </w:rPr>
      </w:pPr>
    </w:p>
    <w:p>
      <w:pPr>
        <w:spacing w:line="560" w:lineRule="exact"/>
        <w:ind w:firstLine="2070" w:firstLineChars="900"/>
        <w:rPr>
          <w:rFonts w:ascii="黑体" w:hAnsi="黑体" w:eastAsia="黑体" w:cs="黑体"/>
          <w:sz w:val="23"/>
          <w:szCs w:val="23"/>
        </w:rPr>
      </w:pPr>
    </w:p>
    <w:p>
      <w:pPr>
        <w:spacing w:line="560" w:lineRule="exact"/>
        <w:jc w:val="center"/>
        <w:rPr>
          <w:rFonts w:ascii="黑体" w:hAnsi="黑体" w:eastAsia="黑体" w:cs="黑体"/>
          <w:b/>
          <w:bCs/>
          <w:sz w:val="32"/>
          <w:szCs w:val="44"/>
        </w:rPr>
      </w:pPr>
      <w:r>
        <w:rPr>
          <w:rFonts w:hint="eastAsia" w:ascii="黑体" w:hAnsi="黑体" w:eastAsia="黑体" w:cs="黑体"/>
          <w:b/>
          <w:bCs/>
          <w:sz w:val="32"/>
          <w:szCs w:val="44"/>
        </w:rPr>
        <w:t>【 】年【 】月【 】日</w:t>
      </w:r>
    </w:p>
    <w:p>
      <w:pPr>
        <w:adjustRightInd w:val="0"/>
        <w:snapToGrid w:val="0"/>
        <w:spacing w:line="560" w:lineRule="exact"/>
        <w:rPr>
          <w:rFonts w:ascii="黑体" w:hAnsi="黑体" w:eastAsia="黑体" w:cs="黑体"/>
          <w:b/>
          <w:sz w:val="32"/>
          <w:szCs w:val="32"/>
        </w:rPr>
      </w:pPr>
      <w:r>
        <w:rPr>
          <w:rFonts w:hint="eastAsia" w:ascii="仿宋" w:hAnsi="仿宋" w:eastAsia="仿宋" w:cs="仿宋"/>
          <w:b/>
          <w:bCs/>
          <w:sz w:val="32"/>
          <w:szCs w:val="44"/>
        </w:rPr>
        <w:br w:type="page"/>
      </w:r>
      <w:r>
        <w:rPr>
          <w:rFonts w:hint="eastAsia" w:ascii="黑体" w:hAnsi="黑体" w:eastAsia="黑体" w:cs="黑体"/>
          <w:b/>
          <w:sz w:val="32"/>
          <w:szCs w:val="32"/>
        </w:rPr>
        <w:t>甲方（发包人）： 杭州萧山国际机场有限公司</w:t>
      </w:r>
    </w:p>
    <w:p>
      <w:pPr>
        <w:adjustRightInd w:val="0"/>
        <w:snapToGrid w:val="0"/>
        <w:spacing w:line="560" w:lineRule="exact"/>
        <w:rPr>
          <w:rFonts w:ascii="黑体" w:hAnsi="黑体" w:eastAsia="黑体" w:cs="黑体"/>
          <w:b/>
          <w:sz w:val="32"/>
          <w:szCs w:val="32"/>
        </w:rPr>
      </w:pPr>
      <w:r>
        <w:rPr>
          <w:rFonts w:hint="eastAsia" w:ascii="黑体" w:hAnsi="黑体" w:eastAsia="黑体" w:cs="黑体"/>
          <w:b/>
          <w:sz w:val="32"/>
          <w:szCs w:val="32"/>
        </w:rPr>
        <w:t>住所地：杭州萧山国际机场内</w:t>
      </w:r>
    </w:p>
    <w:p>
      <w:pPr>
        <w:adjustRightInd w:val="0"/>
        <w:snapToGrid w:val="0"/>
        <w:spacing w:line="560" w:lineRule="exact"/>
        <w:rPr>
          <w:rFonts w:ascii="黑体" w:hAnsi="黑体" w:eastAsia="黑体" w:cs="黑体"/>
          <w:b/>
          <w:sz w:val="32"/>
          <w:szCs w:val="32"/>
        </w:rPr>
      </w:pPr>
      <w:r>
        <w:rPr>
          <w:rFonts w:hint="eastAsia" w:ascii="黑体" w:hAnsi="黑体" w:eastAsia="黑体" w:cs="黑体"/>
          <w:b/>
          <w:sz w:val="32"/>
          <w:szCs w:val="32"/>
        </w:rPr>
        <w:t>乙方（承包人）:</w:t>
      </w:r>
    </w:p>
    <w:p>
      <w:pPr>
        <w:adjustRightInd w:val="0"/>
        <w:snapToGrid w:val="0"/>
        <w:spacing w:line="560" w:lineRule="exact"/>
        <w:rPr>
          <w:rFonts w:ascii="黑体" w:hAnsi="黑体" w:eastAsia="黑体" w:cs="黑体"/>
          <w:sz w:val="32"/>
          <w:szCs w:val="32"/>
        </w:rPr>
      </w:pPr>
      <w:r>
        <w:rPr>
          <w:rFonts w:hint="eastAsia" w:ascii="黑体" w:hAnsi="黑体" w:eastAsia="黑体" w:cs="黑体"/>
          <w:b/>
          <w:sz w:val="32"/>
          <w:szCs w:val="32"/>
        </w:rPr>
        <w:t>住所地:</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甲、乙双方根据《中华人民共和国民法典》、《中华人民共和国建筑法》等相关法律法规，就【杭州萧山国际机场T1T2T3航站楼漏水点专项维修项目】施工事宜，在自愿、平等、互利的原则基础上，经协商一致，特签订本合同，以共同遵守。</w:t>
      </w:r>
    </w:p>
    <w:p>
      <w:p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一、工程概况</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1.1工程名称：【杭州萧山国际机场T1T2T3航站楼漏水点专项维修项目】</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1.2工程地点：【杭州萧山国际机场内】</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1.3工程内容：【对T1T2T3航站楼各漏水点进行注浆防渗和穿孔导水】</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1.4承包范围和方式：【工程量清单范围内的所有内容，承包方式：包工包料】</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1.5工期：本工程暂定自【 】年【 】月【 】日开工，绝对工期总共为【</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日历天，开工日期具体时间以甲方开工令等书面通知为准。前述合同工期已充分考虑停电、停水、设计变更、工程量增减等不确定因素可能对施工进度造成的影响，除经甲方签证同意，否则合同约定的工期不得变更。因甲方原因造成工期延误，则相应工期顺延但费用不予补偿。</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1.6工程质量标准：【符合现行国家有关工程施工验收规范和标准的合格要求】</w:t>
      </w:r>
    </w:p>
    <w:p>
      <w:p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二、合同价格及支付</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2.1 本合同签约合同价为人民币（大写）【 】(¥【 】元)，税率为【 】%，不含税总金额为人民币【 】</w:t>
      </w:r>
      <w:r>
        <w:rPr>
          <w:rFonts w:hint="eastAsia" w:ascii="仿宋_GB2312" w:hAnsi="仿宋_GB2312" w:eastAsia="仿宋_GB2312" w:cs="仿宋_GB2312"/>
          <w:sz w:val="28"/>
          <w:szCs w:val="28"/>
          <w:lang w:val="en-US" w:eastAsia="zh-CN"/>
        </w:rPr>
        <w:t>元</w:t>
      </w:r>
      <w:r>
        <w:rPr>
          <w:rFonts w:hint="eastAsia" w:ascii="仿宋_GB2312" w:hAnsi="仿宋_GB2312" w:eastAsia="仿宋_GB2312" w:cs="仿宋_GB2312"/>
          <w:sz w:val="28"/>
          <w:szCs w:val="28"/>
        </w:rPr>
        <w:t>，税额为人民币【 】</w:t>
      </w:r>
      <w:r>
        <w:rPr>
          <w:rFonts w:hint="eastAsia" w:ascii="仿宋_GB2312" w:hAnsi="仿宋_GB2312" w:eastAsia="仿宋_GB2312" w:cs="仿宋_GB2312"/>
          <w:sz w:val="28"/>
          <w:szCs w:val="28"/>
          <w:lang w:val="en-US" w:eastAsia="zh-CN"/>
        </w:rPr>
        <w:t>元</w:t>
      </w:r>
      <w:r>
        <w:rPr>
          <w:rFonts w:hint="eastAsia" w:ascii="仿宋_GB2312" w:hAnsi="仿宋_GB2312" w:eastAsia="仿宋_GB2312" w:cs="仿宋_GB2312"/>
          <w:sz w:val="28"/>
          <w:szCs w:val="28"/>
        </w:rPr>
        <w:t>。</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2.2 本合同采用固定单价合同价格形式。</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2.3 上述签约合同总价系根据双方确定的本工程工程量清单以及综合单价计算后确定的暂定合同价格，具体单价见附件1已标价工程量清单。</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在本合同约定工程内容范围内综合单价不作调整，合同结算总价应根据实际工程量完成情况经第三方审计后确定。本合同综合单价是完成一个规定清单项目所需的人工费、材料和工程设备费、施工机具使用费和企业管理费、利润，以及一定范围内的风险的费用（因市场价格波动、法律和政策调整、临时停电、停水以及停工、窝工等因素引发的全部风险费用、安全施工措施费、必要的加班赶工工作费用以及乙方认为完成本工程所必须发生的其他费用）。若因国家税收政策调整而引起的增值税税率变化的，应按照国家税收政策调整，合同单价变更为原合同不含增值税总金额与调整后税率计算税额的合计金额。</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2.4 乙方应在工程竣工验收后【30】日内向甲方提出工程结算申请并将有关竣工结算资料提交甲方。甲方将委托工程造价咨询人进行工程审计。在完成工程审计并办理工程结算且本工程所涉档案资料由乙方全部移交甲方授权代表签字认可后，甲方向乙方支付至工程结算总价的【98.5】%。</w:t>
      </w:r>
      <w:r>
        <w:rPr>
          <w:rFonts w:hint="eastAsia" w:ascii="仿宋_GB2312" w:hAnsi="仿宋_GB2312" w:eastAsia="仿宋_GB2312" w:cs="仿宋_GB2312"/>
          <w:b/>
          <w:bCs/>
          <w:sz w:val="28"/>
          <w:szCs w:val="28"/>
        </w:rPr>
        <w:t>★施工安全监管费为暂列金额，结算时承包人需提供相应票据作为依据按实结算，税金另计。</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2.5 工程结算总价的【1.5】%留作质量保证金，待缺陷责任期满，经甲方确认乙方不存在任何违约行为且质量保修不存在问题后15天内一并无息支付。缺陷责任期为自工程竣工验收合格之日起算24个月</w:t>
      </w:r>
      <w:r>
        <w:rPr>
          <w:rFonts w:hint="eastAsia" w:ascii="仿宋_GB2312" w:hAnsi="仿宋_GB2312" w:eastAsia="仿宋_GB2312" w:cs="仿宋_GB2312"/>
          <w:bCs/>
          <w:sz w:val="28"/>
          <w:szCs w:val="28"/>
        </w:rPr>
        <w:t>，</w:t>
      </w:r>
      <w:r>
        <w:rPr>
          <w:rFonts w:hint="eastAsia" w:ascii="仿宋_GB2312" w:hAnsi="仿宋_GB2312" w:eastAsia="仿宋_GB2312" w:cs="仿宋_GB2312"/>
          <w:sz w:val="28"/>
          <w:szCs w:val="28"/>
        </w:rPr>
        <w:t>非乙方施工质量原因导致的破损，则不在保修范围内，该种情况由甲方负责判定，但除上述原因外若甲方发现乙方未完全履行质量保修责任，则甲方有权按《工程质量保修书》的约定扣除部分或全部质量保证金，且甲方不承担逾期支付的违约责任。</w:t>
      </w:r>
    </w:p>
    <w:p>
      <w:p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三、工程变更</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3.1 本工程的所有变更事项应以“工程变更联系单”的书面形式由双方进行确认。乙方应按照双方确认的“工程变更联系单”所列明的内容和要求进行施工，若乙方擅自进行变更的，甲方一律不予认可，工程变更费用不予结算，甲方有权责令乙方按原设计要求限期整改，由此造成甲方经济损失、工期延误或影响工程质量的，将按照施工合同的有关约定，追究乙方的违约责任。</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3.2 由于乙方自身原因，未按规定的时间和要求上报工程变更费用增减的书面报告和资料，或者对工程变更费用争议部分久拖不决，从而影响工程结算的，甲方将向乙方发出书面函告。发出函告5个自然日后，乙方仍拒不执行的，视作乙方自动放弃权利的主张，甲方将不予结算工程变更费用或争议部分的费用。</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3.3 变更估价原则：</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3.3.1 本合同及已标价的工程量清单或预算书中已有适用工程项目单价的，按已有的单价确定；</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3.3.2 本合同及已标价的工程量清单或预算书中没有适用但有类似工程项目单价的，在合理范围内参照类似项目的单价计算确定。参照方法按下列方式处理：</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①某种材料（包括半成品或成品）等级、标准发生变化的，清单组合子目不变，仅调整不同材料的价格之差。</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②清单项目某一特征或工程内容变化，不影响其他特征及工程内容价格的，其他特征组合标准不变，仅调整发生变化的组合子目价格。</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3.3.3 本合同及已标价的工程量清单或预算书中没有适用或类似工程项目单价的，由乙方按照工程造价管理机构现行的计价依据和信息价并按分部分项工程费+规费+税金，提出适当的单价，经甲方审定后执行。</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3.3.4 无响应价的材料价按施工当期《杭州造价信息》（正刊）萧山区、《杭州造价信息》（正刊）市区、《浙江造价信息》的顺序执行。重新组价的单价若遇有工程造价管理机构发布的信息价缺项的，可由乙方根据变更工程资料、市场调查等取得合法依据的市场价格，提出合理的变更项目单价，并经甲方确认后调整。</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3.4 本工程结算由甲方委托工程造价咨询人按规定进行审核，并按最终审定的工程价款进行结算。核减追加费按核减额（包括造价审计中联系单核减额）超过送审造价5%的幅度以外的核减额的5%计算，费用由乙方支付或由甲方从应付工程价款中扣缴；核增部分以核增额为基数，费率为5%，由乙方直接支付审查费用。</w:t>
      </w:r>
    </w:p>
    <w:p>
      <w:p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四、甲方的权利和义务</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4.1 甲方负责向乙方提供经确认的施工图纸或做法说明，并向乙方进行现场交底，尽最大努力清除影响施工现场的障碍物，向乙方提供施工所需的水、电、气及电讯等设备，并说明使用注意事项，办理施工所涉及的各种申请、批件等手续。</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4.2 指派【 】，职务：【】作为甲方项目负责人，负责合同履行；对工程质量、进度进行监督检查，办理验收、变更、登记手续和其他事宜。</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4.3 在施工开始前负责保护好周围建筑物及装修、设备管线、古树名木、绿地等不受损坏。如确实需要拆改原建筑物结构或设备管线，负责到有关部门办理相应审批手续。</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4.4 甲方有权对乙方的安全施工状况进行检查，发现有达不到安全要求或措施不得力的，应当责令乙方整改整顿，整改仍达不到要求的，甲方有权终止本合同。</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4.5 甲方有权对乙方的施工进度进行监督、检查，协调有关部门做好现场保卫、消防、垃圾处理等工作。</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4.6 甲方应按合同约定向乙方支付工程款项。</w:t>
      </w:r>
    </w:p>
    <w:p>
      <w:p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五、乙方的权利和义务</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5.1 乙方向甲方承诺按照合同约定进行施工、竣工并在质量保修期内承担工程质量保修责任。</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5.2 乙方应参加甲方组织的施工图纸或作法说明的现场交底，拟定施工方案和进度计划，交甲方审定。</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5.3 指派【 】（身份证号【 】，联系电话【 】）为乙方项目经理，负责合同履行。按要求组织施工，保质、保量、按期完成施工任务，解决由乙方负责的各项事宜。乙方应向甲方提供与项目经理签署的劳动合同以及为项目经理缴纳社会保险的证明。</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5.4 乙方负责严格执行施工规范、安全操作规程、防火安全规定、环境保护规定。严格按照图纸或作法说明进行施工，做好各项质量检查记录。乙方人员或设施在施工或非施工期间发生的人身伤亡或设施损毁事故，由乙方承担责任。如对甲方造成损失的，甲方有权要求乙方承担由此给甲方造成的实际损失。</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5.5 乙方应参加竣工验收，并编制工程结算文件、整理项目档案移交甲方。</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5.6 乙方应遵守国家或地方政府及有关部门对施工现场管理的规定，从进场施工之日起，妥善保护好施工现场周围建筑物、设备管线、古树名木不受损坏，并承担相应费用。做好施工现场保卫和垃圾处理等工作，处理好由于施工带来的影响与周围单位的关系，并承担相应费用。</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5.7 施工中未经甲方同意或有关部门批准，不得随意拆改或损坏原建筑物结构及各种设备管线。</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5.8 工程竣工未移交甲方之前，负责对现场的一切设施和工程成品进行保护，并承担风险和费用。</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5.9 本工程施工用水、用电：由甲方提供水电接口，场内接管、安装水、电表由乙方自行解决。乙方施工前需向机场水电管理部门提出申请，由甲方按以下标准向乙方收取费用：</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甲方按杭州萧山供水有限公司目前的供水含税单价4.40元/吨为基础水价，向乙方开具 9% 增值税发票收取基本水费，并在基础单价上加收2.91元/吨的供水设施服务费（9%的增值税发票）。在合同有效期内，如遇杭州萧山供水有限公司调整供水单价，基础水价也作相应的调整，收费金额保留小数点后两位四舍五入。</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甲方按每月购入电价作为基础电价，向乙方开具 13% 增值税发票收取基本电费，并在基础单价上加收10%的转供电损耗费（13%增值税发票）。在合同有效期内，如遇甲方每月购入电价调整，基础电价也作相应的调整，收费金额保留小数点后两位四舍五入。</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5.10 未经甲方书面同意，乙方不得将其承包工程全部或部分转包给他人或者肢解以后以分包的名义分别转包给他人。</w:t>
      </w:r>
    </w:p>
    <w:p>
      <w:p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六、工期</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6.1 乙方非因甲方原因不能按期开工、竣工或中途无故停工、窝工影响工期的，工期不顺延，且乙方须向甲方承担工期延误的违约责任。</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6.2 因涉及甲方要求的设计或工程量变更，或非乙方原因造成停电、停水、停气并导致停工【24】小时以上（一周内累计计算），或受不可抗力事件（指战争、动乱、或其它非甲乙双方造成的爆炸、火灾，以及风、雨、雪、震等对工程造成损害的自然灾害或疫情）影响，工期按照甲方签证确认的日期相应顺延。</w:t>
      </w:r>
    </w:p>
    <w:p>
      <w:p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七、工程质量及验收</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7.1 乙方应按甲方要求，执行国家相关的最新技术标准，严格按照施工规范验收标准等组织施工，质量达到一次性合格要求。</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7.2 主要施工材料进场应经甲方检查，验收合格的，方能用于施工。由于乙方提供的材料、设备质量不合格而影响工程质量，其返工费用由乙方承担，工期不顺延。</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7.3 隐蔽工程开始前应通知甲方到场查看，经甲方签证确认后方能继续施工。</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7.4 工程竣工后，乙方应通知甲方验收，甲方自接到验收通知【10】日内组织验收，并办理验收、档案移交以及工程结算手续。工程验收过程中发现的瑕疵，乙方应立即负责免费整改到位，整改不另增加工期和费用，因整改导致逾期完工的，乙方应承担违约责任。</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7.5 由于乙方原因造成质量事故，其返工费用由乙方承担，工期不顺延。</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7.6 工程验收合格不能免除乙方的质量保修责任，如甲方发现属于乙方施工质量问题的事项，乙方仍应免费维修，否则应承担赔偿责任。</w:t>
      </w:r>
    </w:p>
    <w:p>
      <w:p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八、材料供应</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8.1 本工程由乙方负责采购供应的材料、设备，应为符合要求的合格产品，并应按时供应到现场。乙方供应的材料，经甲方验收后，由乙方负责保管，甲方无需另行支付保管费。由于乙方保管不当造成损失，由乙方负责赔偿。</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8.2 凡由乙方采购的材料、设备，如不符合质量要求或规格有差异，应禁止使用。若已使用，对工程造成的损失由乙方负责。</w:t>
      </w:r>
    </w:p>
    <w:p>
      <w:p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九、安全文明施工</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9.1 甲方提供的施工图纸或作法说明，应符合《中华人民共和国消防法》和有关防火设计规范。</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9.2 乙方在施工期间应严格遵守《中华人民共和国建筑法》、《中华人民共和国安全生产法》、《中华人民共和国消防法》、《建设工程质量管理条例》、《建设工程安全生产管理条例》和其他相关的法律、法规、规范以及附件《安全文明施工协议书》。</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9.3 由于乙方在施工过程中违反有关安全操作规程、消防条例，导致发生安全或火灾事故，乙方应承担由此引发的一切经济损失及相关法律责任。</w:t>
      </w:r>
    </w:p>
    <w:p>
      <w:p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十、违约责任</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10.1 乙方逾期开工、竣工或延误工期的，每逾期一天，乙方支付甲方签约合同价的【1】‰作为违约金；如延误工期达到【5】日的，甲方有权解除本合同，并要求乙方按前述标准支付违约金；本条规定的违约金不足以弥补甲方损失的，乙方应当另行向甲方承担赔偿责任。</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10.2 乙方逾期向甲方提交竣工结算资料的，每逾期一天，应向甲方支付签约合同价的【1】‰作为违约金。</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10.3 因工程质量达不到本合同约定的质量标准导致合同目的无法实现的，甲方有权解除本合同，并要求乙方支付签约合同价的【10】%作为违约金。</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10.4 乙方应妥善保护甲方提供的设备及现场堆放的家具、陈设和工程成品，如造成损失，应照价赔偿。</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10.5 未经甲方同意，乙方擅自拆改原建筑物结构或设备管线，由此发生的损失或事故（包括行政处罚），由乙方负责并承担损失。</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10.6 乙方在自身经营活动中产生的各种纠纷影响到本工程施工进度的，甲方有权视损害或影响情况处理决定是否继续履行合同，如发生农民工欠薪等特别事件，甲方有权按建设行政管理部门的要求办理。</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10.7 除本合同另有约定外，乙方违反其在本合同项下其他义务并给甲方造成损失的，须向甲方承担全部赔偿责任。本合同约定的因乙方违约而应向甲方赔偿的损失包括但不限于甲方为本合同项下事宜进行交易以及因合同解除而重新进行交易的费用、重新交易的成交价格与本合同价格的差价损失、因工程延误而导致的损失以及甲方为主张和实现债权而发生的律师费、诉讼费、公证费等一切成本和支出。</w:t>
      </w:r>
    </w:p>
    <w:p>
      <w:p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十一、争议解决</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11.1本合同在履行期间，双方发生争议时，在不影响工作进度的前提下，双方可采取协商解决或请有关部门进行调解。</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11.2当事人不愿通过协商、调解解决或者协商、调解不成时，本合同在执行中发生的争议双方同意由工程所在地人民法院诉讼管辖。</w:t>
      </w:r>
    </w:p>
    <w:p>
      <w:p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十二、不可抗力</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12.1 在合同有效期内，任何一方因不可抗力事件导致不能履行合同，应在不可抗力事件发生后立即通知另一方，并于事件发生之日起【15】日内向对方寄送有关官方权威机构出具的证明，双方应根据不可抗力的影响程度协商确定变更或解除本合同。</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12.2 不可抗力因素造成乙方的直接损失费用，甲方将根据实际情况另行协商，但属于应该预见、预防、乙方没有及时预防或预防不力造成的损失，甲方不负责补偿。</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b/>
          <w:sz w:val="28"/>
          <w:szCs w:val="28"/>
        </w:rPr>
        <w:t>十三、通知</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13.1本合同项下的所有通知、请求、主张、要求及其他通信均须采用书面形式以中文语言发出，在按以下地址电子邮件或快递（如DHL快递、EMS和顺丰速运）方式发送给有关各方后视为有效发出或做出：</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发送至甲方：</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电子邮件：【 】</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地址：【 】</w:t>
      </w:r>
    </w:p>
    <w:p>
      <w:pPr>
        <w:adjustRightInd w:val="0"/>
        <w:snapToGrid w:val="0"/>
        <w:spacing w:line="560" w:lineRule="exact"/>
        <w:ind w:firstLine="560" w:firstLineChars="200"/>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收件人：【 】</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联系电话：【 】</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发送至乙方：</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电子邮件：【 】</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地址：【 】</w:t>
      </w:r>
    </w:p>
    <w:p>
      <w:pPr>
        <w:adjustRightInd w:val="0"/>
        <w:snapToGrid w:val="0"/>
        <w:spacing w:line="560" w:lineRule="exact"/>
        <w:ind w:firstLine="560" w:firstLineChars="200"/>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收件人：【 】</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联系电话：【 】</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13.2 如任一方变更联系方式，应按照以上方式向另一方发出书面通知，否则上述地址仍为有效送达地址。</w:t>
      </w:r>
    </w:p>
    <w:p>
      <w:pPr>
        <w:adjustRightInd w:val="0"/>
        <w:snapToGrid w:val="0"/>
        <w:spacing w:line="560" w:lineRule="exact"/>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sz w:val="28"/>
          <w:szCs w:val="28"/>
          <w:lang w:bidi="ar"/>
        </w:rPr>
        <w:t>13.3 按照本条款发出的通知，在以下时间视为已被收件方收到：(i) 以电子邮件发出的通知，在发送之日的下一个工作日被视为已收到；或 (ii) 以快递发出的通知，在发送之日后的第三个工作日被视为已收到。</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13.4 上述地址适用于本合同项下相关司法文书的送达。</w:t>
      </w:r>
    </w:p>
    <w:p>
      <w:p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十四、合同组成</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14.1 本合同文件包括：（1）本合同及附件；（2）中标通知书；（3）询标纪要；（4）招标文件；（5）投标文件。如上述文件内容不一致的，按上述顺序进行解释。</w:t>
      </w:r>
    </w:p>
    <w:p>
      <w:p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十五、合同生效及其他</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15.1 合同经双方法定代表人或授权代表签字（包含签章）并加盖单位公章或者合同章之日起生效。</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15.2 本合同未尽事宜，双方可签订补充协议予以确定。补充协议与本合同具有同等法律效力。</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15.3 本合同所订一切条款，未经双方书面确认，任何一方不得擅自变更或者修改。</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15.4 本合同一式【伍】份，甲方持【叁】份，乙方持【贰】份，具有同等法律效力。</w:t>
      </w:r>
    </w:p>
    <w:p>
      <w:pPr>
        <w:spacing w:line="560" w:lineRule="exact"/>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sz w:val="28"/>
          <w:szCs w:val="28"/>
        </w:rPr>
        <w:t>15.5本合同包含以下附件，附件与本合同具有同等法律效力。</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附件1：已标价工程量清单</w:t>
      </w:r>
    </w:p>
    <w:p>
      <w:pPr>
        <w:spacing w:line="560" w:lineRule="exact"/>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附件2：工程质量保修书</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附件3：安全文明施工协议书 </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附件4：保密承诺书</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附件5：廉政承诺书</w:t>
      </w:r>
    </w:p>
    <w:p>
      <w:pPr>
        <w:tabs>
          <w:tab w:val="right" w:pos="8306"/>
        </w:tabs>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（以下无正文）</w:t>
      </w:r>
    </w:p>
    <w:p>
      <w:pPr>
        <w:pageBreakBefore/>
        <w:tabs>
          <w:tab w:val="right" w:pos="8306"/>
        </w:tabs>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（本页为合同编号为【             】的建设工程施工合同的签署页）</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tbl>
      <w:tblPr>
        <w:tblStyle w:val="12"/>
        <w:tblW w:w="9855" w:type="dxa"/>
        <w:tblInd w:w="0" w:type="dxa"/>
        <w:tblLayout w:type="fixed"/>
        <w:tblCellMar>
          <w:top w:w="0" w:type="dxa"/>
          <w:left w:w="108" w:type="dxa"/>
          <w:bottom w:w="0" w:type="dxa"/>
          <w:right w:w="108" w:type="dxa"/>
        </w:tblCellMar>
      </w:tblPr>
      <w:tblGrid>
        <w:gridCol w:w="4928"/>
        <w:gridCol w:w="4927"/>
      </w:tblGrid>
      <w:tr>
        <w:tblPrEx>
          <w:tblLayout w:type="fixed"/>
          <w:tblCellMar>
            <w:top w:w="0" w:type="dxa"/>
            <w:left w:w="108" w:type="dxa"/>
            <w:bottom w:w="0" w:type="dxa"/>
            <w:right w:w="108" w:type="dxa"/>
          </w:tblCellMar>
        </w:tblPrEx>
        <w:tc>
          <w:tcPr>
            <w:tcW w:w="4928" w:type="dxa"/>
          </w:tcPr>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甲方：杭州萧山国际机场有限公司</w:t>
            </w:r>
          </w:p>
        </w:tc>
        <w:tc>
          <w:tcPr>
            <w:tcW w:w="4927" w:type="dxa"/>
          </w:tcPr>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乙方：</w:t>
            </w:r>
          </w:p>
        </w:tc>
      </w:tr>
      <w:tr>
        <w:tblPrEx>
          <w:tblLayout w:type="fixed"/>
          <w:tblCellMar>
            <w:top w:w="0" w:type="dxa"/>
            <w:left w:w="108" w:type="dxa"/>
            <w:bottom w:w="0" w:type="dxa"/>
            <w:right w:w="108" w:type="dxa"/>
          </w:tblCellMar>
        </w:tblPrEx>
        <w:tc>
          <w:tcPr>
            <w:tcW w:w="4928" w:type="dxa"/>
          </w:tcPr>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地址：杭州萧山国际机场内</w:t>
            </w:r>
          </w:p>
        </w:tc>
        <w:tc>
          <w:tcPr>
            <w:tcW w:w="4927" w:type="dxa"/>
          </w:tcPr>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地址：</w:t>
            </w:r>
          </w:p>
        </w:tc>
      </w:tr>
      <w:tr>
        <w:tblPrEx>
          <w:tblLayout w:type="fixed"/>
          <w:tblCellMar>
            <w:top w:w="0" w:type="dxa"/>
            <w:left w:w="108" w:type="dxa"/>
            <w:bottom w:w="0" w:type="dxa"/>
            <w:right w:w="108" w:type="dxa"/>
          </w:tblCellMar>
        </w:tblPrEx>
        <w:tc>
          <w:tcPr>
            <w:tcW w:w="4928" w:type="dxa"/>
          </w:tcPr>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w:t>
            </w:r>
          </w:p>
        </w:tc>
        <w:tc>
          <w:tcPr>
            <w:tcW w:w="4927" w:type="dxa"/>
          </w:tcPr>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w:t>
            </w:r>
          </w:p>
        </w:tc>
      </w:tr>
      <w:tr>
        <w:tblPrEx>
          <w:tblLayout w:type="fixed"/>
          <w:tblCellMar>
            <w:top w:w="0" w:type="dxa"/>
            <w:left w:w="108" w:type="dxa"/>
            <w:bottom w:w="0" w:type="dxa"/>
            <w:right w:w="108" w:type="dxa"/>
          </w:tblCellMar>
        </w:tblPrEx>
        <w:tc>
          <w:tcPr>
            <w:tcW w:w="4928" w:type="dxa"/>
          </w:tcPr>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或  </w:t>
            </w:r>
          </w:p>
        </w:tc>
        <w:tc>
          <w:tcPr>
            <w:tcW w:w="4927" w:type="dxa"/>
          </w:tcPr>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或</w:t>
            </w:r>
          </w:p>
        </w:tc>
      </w:tr>
      <w:tr>
        <w:tblPrEx>
          <w:tblLayout w:type="fixed"/>
          <w:tblCellMar>
            <w:top w:w="0" w:type="dxa"/>
            <w:left w:w="108" w:type="dxa"/>
            <w:bottom w:w="0" w:type="dxa"/>
            <w:right w:w="108" w:type="dxa"/>
          </w:tblCellMar>
        </w:tblPrEx>
        <w:tc>
          <w:tcPr>
            <w:tcW w:w="4928" w:type="dxa"/>
          </w:tcPr>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授权代表：</w:t>
            </w:r>
          </w:p>
        </w:tc>
        <w:tc>
          <w:tcPr>
            <w:tcW w:w="4927" w:type="dxa"/>
          </w:tcPr>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授权代表：</w:t>
            </w:r>
          </w:p>
        </w:tc>
      </w:tr>
      <w:tr>
        <w:tblPrEx>
          <w:tblLayout w:type="fixed"/>
          <w:tblCellMar>
            <w:top w:w="0" w:type="dxa"/>
            <w:left w:w="108" w:type="dxa"/>
            <w:bottom w:w="0" w:type="dxa"/>
            <w:right w:w="108" w:type="dxa"/>
          </w:tblCellMar>
        </w:tblPrEx>
        <w:tc>
          <w:tcPr>
            <w:tcW w:w="4928" w:type="dxa"/>
          </w:tcPr>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签字日期：</w:t>
            </w:r>
          </w:p>
        </w:tc>
        <w:tc>
          <w:tcPr>
            <w:tcW w:w="4927" w:type="dxa"/>
          </w:tcPr>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签字日期：</w:t>
            </w:r>
          </w:p>
        </w:tc>
      </w:tr>
    </w:tbl>
    <w:p>
      <w:pPr>
        <w:adjustRightInd w:val="0"/>
        <w:snapToGrid w:val="0"/>
        <w:spacing w:line="560" w:lineRule="exact"/>
        <w:ind w:firstLine="460" w:firstLineChars="200"/>
        <w:rPr>
          <w:rFonts w:ascii="仿宋" w:hAnsi="仿宋" w:eastAsia="仿宋" w:cs="仿宋"/>
          <w:sz w:val="23"/>
          <w:szCs w:val="23"/>
        </w:rPr>
      </w:pPr>
    </w:p>
    <w:p>
      <w:pPr>
        <w:adjustRightInd w:val="0"/>
        <w:snapToGrid w:val="0"/>
        <w:spacing w:line="560" w:lineRule="exact"/>
        <w:ind w:firstLine="460" w:firstLineChars="200"/>
        <w:rPr>
          <w:rFonts w:ascii="仿宋" w:hAnsi="仿宋" w:eastAsia="仿宋" w:cs="仿宋"/>
          <w:sz w:val="23"/>
          <w:szCs w:val="23"/>
        </w:rPr>
      </w:pPr>
    </w:p>
    <w:p>
      <w:pPr>
        <w:adjustRightInd w:val="0"/>
        <w:snapToGrid w:val="0"/>
        <w:spacing w:line="560" w:lineRule="exact"/>
        <w:ind w:firstLine="460" w:firstLineChars="200"/>
        <w:rPr>
          <w:rFonts w:ascii="仿宋" w:hAnsi="仿宋" w:eastAsia="仿宋" w:cs="仿宋"/>
          <w:sz w:val="23"/>
          <w:szCs w:val="23"/>
        </w:rPr>
      </w:pPr>
    </w:p>
    <w:p>
      <w:pPr>
        <w:adjustRightInd w:val="0"/>
        <w:snapToGrid w:val="0"/>
        <w:spacing w:line="560" w:lineRule="exact"/>
        <w:ind w:firstLine="460" w:firstLineChars="200"/>
        <w:rPr>
          <w:rFonts w:ascii="仿宋" w:hAnsi="仿宋" w:eastAsia="仿宋" w:cs="仿宋"/>
          <w:sz w:val="23"/>
          <w:szCs w:val="23"/>
        </w:rPr>
      </w:pPr>
    </w:p>
    <w:p>
      <w:pPr>
        <w:adjustRightInd w:val="0"/>
        <w:snapToGrid w:val="0"/>
        <w:spacing w:line="560" w:lineRule="exact"/>
        <w:ind w:firstLine="460" w:firstLineChars="200"/>
        <w:rPr>
          <w:rFonts w:ascii="仿宋" w:hAnsi="仿宋" w:eastAsia="仿宋" w:cs="仿宋"/>
          <w:sz w:val="23"/>
          <w:szCs w:val="23"/>
        </w:rPr>
      </w:pPr>
    </w:p>
    <w:p>
      <w:pPr>
        <w:adjustRightInd w:val="0"/>
        <w:snapToGrid w:val="0"/>
        <w:spacing w:line="560" w:lineRule="exact"/>
        <w:ind w:firstLine="460" w:firstLineChars="200"/>
        <w:rPr>
          <w:rFonts w:ascii="仿宋" w:hAnsi="仿宋" w:eastAsia="仿宋" w:cs="仿宋"/>
          <w:sz w:val="23"/>
          <w:szCs w:val="23"/>
        </w:rPr>
      </w:pPr>
    </w:p>
    <w:p>
      <w:pPr>
        <w:adjustRightInd w:val="0"/>
        <w:snapToGrid w:val="0"/>
        <w:spacing w:line="560" w:lineRule="exact"/>
        <w:ind w:firstLine="460" w:firstLineChars="200"/>
        <w:rPr>
          <w:rFonts w:ascii="仿宋" w:hAnsi="仿宋" w:eastAsia="仿宋" w:cs="仿宋"/>
          <w:sz w:val="23"/>
          <w:szCs w:val="23"/>
        </w:rPr>
      </w:pPr>
    </w:p>
    <w:p>
      <w:pPr>
        <w:adjustRightInd w:val="0"/>
        <w:snapToGrid w:val="0"/>
        <w:spacing w:line="560" w:lineRule="exact"/>
        <w:ind w:firstLine="460" w:firstLineChars="200"/>
        <w:rPr>
          <w:rFonts w:ascii="仿宋" w:hAnsi="仿宋" w:eastAsia="仿宋" w:cs="仿宋"/>
          <w:sz w:val="23"/>
          <w:szCs w:val="23"/>
        </w:rPr>
      </w:pPr>
    </w:p>
    <w:p>
      <w:pPr>
        <w:adjustRightInd w:val="0"/>
        <w:snapToGrid w:val="0"/>
        <w:spacing w:line="560" w:lineRule="exact"/>
        <w:ind w:firstLine="460" w:firstLineChars="200"/>
        <w:rPr>
          <w:rFonts w:ascii="仿宋" w:hAnsi="仿宋" w:eastAsia="仿宋" w:cs="仿宋"/>
          <w:sz w:val="23"/>
          <w:szCs w:val="23"/>
        </w:rPr>
      </w:pPr>
    </w:p>
    <w:p>
      <w:pPr>
        <w:spacing w:line="560" w:lineRule="exact"/>
        <w:rPr>
          <w:rFonts w:ascii="仿宋" w:hAnsi="仿宋" w:eastAsia="仿宋" w:cs="仿宋"/>
          <w:sz w:val="23"/>
          <w:szCs w:val="23"/>
        </w:rPr>
      </w:pPr>
      <w:r>
        <w:rPr>
          <w:rFonts w:hint="eastAsia" w:ascii="仿宋" w:hAnsi="仿宋" w:eastAsia="仿宋" w:cs="仿宋"/>
          <w:sz w:val="23"/>
          <w:szCs w:val="23"/>
        </w:rPr>
        <w:br w:type="page"/>
      </w:r>
    </w:p>
    <w:p>
      <w:pPr>
        <w:pStyle w:val="13"/>
        <w:tabs>
          <w:tab w:val="left" w:pos="540"/>
        </w:tabs>
        <w:snapToGrid w:val="0"/>
        <w:spacing w:line="560" w:lineRule="exact"/>
        <w:rPr>
          <w:rFonts w:ascii="黑体" w:hAnsi="黑体" w:eastAsia="黑体" w:cs="黑体"/>
          <w:sz w:val="32"/>
          <w:szCs w:val="32"/>
        </w:rPr>
      </w:pPr>
      <w:r>
        <w:rPr>
          <w:rFonts w:hint="eastAsia" w:ascii="黑体" w:hAnsi="黑体" w:eastAsia="黑体" w:cs="黑体"/>
          <w:sz w:val="32"/>
          <w:szCs w:val="32"/>
        </w:rPr>
        <w:t>附件1：已标价工程量清单</w:t>
      </w:r>
    </w:p>
    <w:p>
      <w:pPr>
        <w:pStyle w:val="13"/>
        <w:tabs>
          <w:tab w:val="left" w:pos="540"/>
        </w:tabs>
        <w:snapToGrid w:val="0"/>
        <w:spacing w:line="560" w:lineRule="exact"/>
        <w:rPr>
          <w:rFonts w:ascii="仿宋" w:hAnsi="仿宋" w:eastAsia="仿宋" w:cs="仿宋"/>
          <w:b/>
          <w:bCs/>
          <w:sz w:val="23"/>
          <w:szCs w:val="23"/>
        </w:rPr>
      </w:pPr>
    </w:p>
    <w:p>
      <w:pPr>
        <w:spacing w:line="560" w:lineRule="exact"/>
        <w:rPr>
          <w:rFonts w:ascii="仿宋" w:hAnsi="仿宋" w:eastAsia="仿宋" w:cs="仿宋"/>
          <w:b/>
          <w:bCs/>
          <w:sz w:val="23"/>
          <w:szCs w:val="23"/>
        </w:rPr>
      </w:pPr>
      <w:r>
        <w:rPr>
          <w:rFonts w:hint="eastAsia" w:ascii="仿宋" w:hAnsi="仿宋" w:eastAsia="仿宋" w:cs="仿宋"/>
          <w:b/>
          <w:bCs/>
          <w:sz w:val="23"/>
          <w:szCs w:val="23"/>
        </w:rPr>
        <w:br w:type="page"/>
      </w:r>
    </w:p>
    <w:p>
      <w:pPr>
        <w:pStyle w:val="13"/>
        <w:tabs>
          <w:tab w:val="left" w:pos="540"/>
        </w:tabs>
        <w:snapToGrid w:val="0"/>
        <w:spacing w:line="560" w:lineRule="exact"/>
        <w:rPr>
          <w:rFonts w:ascii="黑体" w:hAnsi="黑体" w:eastAsia="黑体" w:cs="黑体"/>
          <w:sz w:val="32"/>
          <w:szCs w:val="32"/>
        </w:rPr>
      </w:pPr>
      <w:r>
        <w:rPr>
          <w:rFonts w:hint="eastAsia" w:ascii="黑体" w:hAnsi="黑体" w:eastAsia="黑体" w:cs="黑体"/>
          <w:sz w:val="32"/>
          <w:szCs w:val="32"/>
        </w:rPr>
        <w:t>附件2：</w:t>
      </w:r>
    </w:p>
    <w:p>
      <w:pPr>
        <w:pStyle w:val="13"/>
        <w:snapToGrid w:val="0"/>
        <w:spacing w:line="560" w:lineRule="exact"/>
        <w:jc w:val="center"/>
        <w:rPr>
          <w:rFonts w:ascii="仿宋" w:hAnsi="仿宋" w:eastAsia="仿宋" w:cs="仿宋"/>
          <w:b/>
          <w:bCs/>
          <w:sz w:val="32"/>
          <w:szCs w:val="32"/>
        </w:rPr>
      </w:pPr>
      <w:r>
        <w:rPr>
          <w:rFonts w:hint="eastAsia" w:ascii="仿宋_GB2312" w:hAnsi="仿宋_GB2312" w:eastAsia="仿宋_GB2312" w:cs="仿宋_GB2312"/>
          <w:b/>
          <w:bCs/>
          <w:sz w:val="32"/>
          <w:szCs w:val="32"/>
        </w:rPr>
        <w:t>工程质量保修书</w:t>
      </w:r>
    </w:p>
    <w:p>
      <w:pPr>
        <w:pStyle w:val="13"/>
        <w:tabs>
          <w:tab w:val="left" w:pos="426"/>
        </w:tabs>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甲方（全称）：杭州萧山国际机场有限公司</w:t>
      </w:r>
    </w:p>
    <w:p>
      <w:pPr>
        <w:pStyle w:val="13"/>
        <w:tabs>
          <w:tab w:val="left" w:pos="426"/>
        </w:tabs>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乙方（全称）：   </w:t>
      </w:r>
    </w:p>
    <w:p>
      <w:pPr>
        <w:pStyle w:val="13"/>
        <w:tabs>
          <w:tab w:val="left" w:pos="426"/>
        </w:tabs>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甲方和乙方根据《中华人民共和国建筑法》和《建设工程质量管理条例》，经协商一致就【杭州萧山国际机场T1T2T3航站楼漏水点专项维修项目】（工程全称）签订工程质量保修书。</w:t>
      </w:r>
    </w:p>
    <w:p>
      <w:pPr>
        <w:pStyle w:val="13"/>
        <w:tabs>
          <w:tab w:val="left" w:pos="426"/>
        </w:tabs>
        <w:snapToGrid w:val="0"/>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一、工程质量保修范围和内容</w:t>
      </w:r>
    </w:p>
    <w:p>
      <w:pPr>
        <w:pStyle w:val="13"/>
        <w:tabs>
          <w:tab w:val="left" w:pos="426"/>
        </w:tabs>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乙方在质量保修期内，按照有关法律规定和合同约定，承担工程质量保修责任。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本工程合同承包范围内乙方负责施工的所有工程项目]</w:t>
      </w:r>
    </w:p>
    <w:p>
      <w:pPr>
        <w:pStyle w:val="13"/>
        <w:tabs>
          <w:tab w:val="left" w:pos="426"/>
        </w:tabs>
        <w:snapToGrid w:val="0"/>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二、质量保修期</w:t>
      </w:r>
    </w:p>
    <w:p>
      <w:pPr>
        <w:pStyle w:val="13"/>
        <w:tabs>
          <w:tab w:val="left" w:pos="426"/>
        </w:tabs>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根据《建设工程质量管理条例》及有关规定，工程的质量保修期如下：</w:t>
      </w:r>
    </w:p>
    <w:p>
      <w:pPr>
        <w:pStyle w:val="13"/>
        <w:numPr>
          <w:ilvl w:val="0"/>
          <w:numId w:val="5"/>
        </w:numPr>
        <w:tabs>
          <w:tab w:val="left" w:pos="426"/>
        </w:tabs>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地基基础工程和主体结构工程为设计文件规定的工程合理使用年限；</w:t>
      </w:r>
    </w:p>
    <w:p>
      <w:pPr>
        <w:pStyle w:val="13"/>
        <w:numPr>
          <w:ilvl w:val="0"/>
          <w:numId w:val="5"/>
        </w:numPr>
        <w:tabs>
          <w:tab w:val="left" w:pos="426"/>
        </w:tabs>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屋面防水工程、有防水要求的卫生间、房间和外墙面的防渗为 5 年；</w:t>
      </w:r>
    </w:p>
    <w:p>
      <w:pPr>
        <w:pStyle w:val="13"/>
        <w:numPr>
          <w:ilvl w:val="0"/>
          <w:numId w:val="5"/>
        </w:numPr>
        <w:tabs>
          <w:tab w:val="left" w:pos="426"/>
        </w:tabs>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装修工程为 2 年；</w:t>
      </w:r>
    </w:p>
    <w:p>
      <w:pPr>
        <w:pStyle w:val="13"/>
        <w:numPr>
          <w:ilvl w:val="0"/>
          <w:numId w:val="5"/>
        </w:numPr>
        <w:tabs>
          <w:tab w:val="left" w:pos="426"/>
        </w:tabs>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电气管线、给排水管道、设备安装工程为 2 年；</w:t>
      </w:r>
    </w:p>
    <w:p>
      <w:pPr>
        <w:pStyle w:val="13"/>
        <w:numPr>
          <w:ilvl w:val="0"/>
          <w:numId w:val="5"/>
        </w:numPr>
        <w:tabs>
          <w:tab w:val="left" w:pos="426"/>
        </w:tabs>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供热与供冷系统为 2 个采暖期、供冷期；</w:t>
      </w:r>
    </w:p>
    <w:p>
      <w:pPr>
        <w:pStyle w:val="13"/>
        <w:numPr>
          <w:ilvl w:val="0"/>
          <w:numId w:val="5"/>
        </w:numPr>
        <w:tabs>
          <w:tab w:val="left" w:pos="426"/>
        </w:tabs>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住宅小区内的给排水设施、道路等配套工程为 2 年；</w:t>
      </w:r>
    </w:p>
    <w:p>
      <w:pPr>
        <w:pStyle w:val="13"/>
        <w:numPr>
          <w:ilvl w:val="0"/>
          <w:numId w:val="5"/>
        </w:numPr>
        <w:tabs>
          <w:tab w:val="left" w:pos="426"/>
        </w:tabs>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其他项目保修期限约定如下：【本工程保修期为2年】</w:t>
      </w:r>
    </w:p>
    <w:p>
      <w:pPr>
        <w:pStyle w:val="13"/>
        <w:tabs>
          <w:tab w:val="left" w:pos="426"/>
        </w:tabs>
        <w:snapToGrid w:val="0"/>
        <w:spacing w:line="560" w:lineRule="exact"/>
        <w:ind w:firstLine="440"/>
        <w:rPr>
          <w:rFonts w:ascii="仿宋_GB2312" w:hAnsi="仿宋_GB2312" w:eastAsia="仿宋_GB2312" w:cs="仿宋_GB2312"/>
          <w:sz w:val="28"/>
          <w:szCs w:val="28"/>
        </w:rPr>
      </w:pPr>
      <w:r>
        <w:rPr>
          <w:rFonts w:hint="eastAsia" w:ascii="仿宋_GB2312" w:hAnsi="仿宋_GB2312" w:eastAsia="仿宋_GB2312" w:cs="仿宋_GB2312"/>
          <w:sz w:val="28"/>
          <w:szCs w:val="28"/>
        </w:rPr>
        <w:t>质量保修期自工程竣工验收合格之日起计算。</w:t>
      </w:r>
    </w:p>
    <w:p>
      <w:pPr>
        <w:pStyle w:val="13"/>
        <w:tabs>
          <w:tab w:val="left" w:pos="426"/>
        </w:tabs>
        <w:snapToGrid w:val="0"/>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三、缺陷责任期</w:t>
      </w:r>
    </w:p>
    <w:p>
      <w:pPr>
        <w:pStyle w:val="13"/>
        <w:tabs>
          <w:tab w:val="left" w:pos="426"/>
        </w:tabs>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工程缺陷责任期为24个月，缺陷责任期自工程竣工验收合格之日起计算。单位工程先于全部工程进行验收，单位工程缺陷责任期自单位工程验收合格之日起算。</w:t>
      </w:r>
    </w:p>
    <w:p>
      <w:pPr>
        <w:pStyle w:val="13"/>
        <w:tabs>
          <w:tab w:val="left" w:pos="426"/>
        </w:tabs>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缺陷责任期届满后，经甲方确认核实，乙方不存在违约情形以及质量保修不存在问题后15天内无息支付质量保证金。</w:t>
      </w:r>
    </w:p>
    <w:p>
      <w:pPr>
        <w:pStyle w:val="13"/>
        <w:tabs>
          <w:tab w:val="left" w:pos="426"/>
        </w:tabs>
        <w:snapToGrid w:val="0"/>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四、质量保修责任</w:t>
      </w:r>
    </w:p>
    <w:p>
      <w:pPr>
        <w:pStyle w:val="13"/>
        <w:tabs>
          <w:tab w:val="left" w:pos="426"/>
        </w:tabs>
        <w:snapToGrid w:val="0"/>
        <w:spacing w:line="560" w:lineRule="exact"/>
        <w:ind w:firstLine="440"/>
        <w:rPr>
          <w:rFonts w:ascii="仿宋_GB2312" w:hAnsi="仿宋_GB2312" w:eastAsia="仿宋_GB2312" w:cs="仿宋_GB2312"/>
          <w:sz w:val="28"/>
          <w:szCs w:val="28"/>
        </w:rPr>
      </w:pPr>
      <w:r>
        <w:rPr>
          <w:rFonts w:hint="eastAsia" w:ascii="仿宋_GB2312" w:hAnsi="仿宋_GB2312" w:eastAsia="仿宋_GB2312" w:cs="仿宋_GB2312"/>
          <w:sz w:val="28"/>
          <w:szCs w:val="28"/>
        </w:rPr>
        <w:t>1．属于保修范围、内容的项目，乙方应当在接到保修通知之日起【3】天内派人至甲方现场进行维修。乙方不在约定期限内派人至甲方现场进行维修的，甲方可以自行委托他人修理。费用从质量保证金中扣除。修复部分的质保期自修复完毕之日起重新开始计算。</w:t>
      </w:r>
    </w:p>
    <w:p>
      <w:pPr>
        <w:pStyle w:val="13"/>
        <w:tabs>
          <w:tab w:val="left" w:pos="426"/>
        </w:tabs>
        <w:snapToGrid w:val="0"/>
        <w:spacing w:line="560" w:lineRule="exact"/>
        <w:ind w:firstLine="440"/>
        <w:rPr>
          <w:rFonts w:ascii="仿宋_GB2312" w:hAnsi="仿宋_GB2312" w:eastAsia="仿宋_GB2312" w:cs="仿宋_GB2312"/>
          <w:sz w:val="28"/>
          <w:szCs w:val="28"/>
        </w:rPr>
      </w:pPr>
      <w:r>
        <w:rPr>
          <w:rFonts w:hint="eastAsia" w:ascii="仿宋_GB2312" w:hAnsi="仿宋_GB2312" w:eastAsia="仿宋_GB2312" w:cs="仿宋_GB2312"/>
          <w:sz w:val="28"/>
          <w:szCs w:val="28"/>
        </w:rPr>
        <w:t>2．发生紧急事故需抢修的，乙方在接到事故通知后，应当立即到达事故现场进行持续抢修直至修复。</w:t>
      </w:r>
    </w:p>
    <w:p>
      <w:pPr>
        <w:pStyle w:val="13"/>
        <w:tabs>
          <w:tab w:val="left" w:pos="426"/>
        </w:tabs>
        <w:snapToGrid w:val="0"/>
        <w:spacing w:line="560" w:lineRule="exact"/>
        <w:ind w:firstLine="440"/>
        <w:rPr>
          <w:rFonts w:ascii="仿宋_GB2312" w:hAnsi="仿宋_GB2312" w:eastAsia="仿宋_GB2312" w:cs="仿宋_GB2312"/>
          <w:sz w:val="28"/>
          <w:szCs w:val="28"/>
        </w:rPr>
      </w:pPr>
      <w:r>
        <w:rPr>
          <w:rFonts w:hint="eastAsia" w:ascii="仿宋_GB2312" w:hAnsi="仿宋_GB2312" w:eastAsia="仿宋_GB2312" w:cs="仿宋_GB2312"/>
          <w:sz w:val="28"/>
          <w:szCs w:val="28"/>
        </w:rPr>
        <w:t>3．对于涉及结构安全的质量问题，应当按照《建设工程质量管理条例》的规定，立即向当地建设行政主管部门和有关部门报告，采取安全防范措施，并由原设计人或者具有相应资质等级的设计人提出保修方案，由乙方实施保修。</w:t>
      </w:r>
    </w:p>
    <w:p>
      <w:pPr>
        <w:pStyle w:val="13"/>
        <w:tabs>
          <w:tab w:val="left" w:pos="426"/>
        </w:tabs>
        <w:snapToGrid w:val="0"/>
        <w:spacing w:line="560" w:lineRule="exact"/>
        <w:ind w:firstLine="440"/>
        <w:rPr>
          <w:rFonts w:ascii="仿宋_GB2312" w:hAnsi="仿宋_GB2312" w:eastAsia="仿宋_GB2312" w:cs="仿宋_GB2312"/>
          <w:sz w:val="28"/>
          <w:szCs w:val="28"/>
        </w:rPr>
      </w:pPr>
      <w:r>
        <w:rPr>
          <w:rFonts w:hint="eastAsia" w:ascii="仿宋_GB2312" w:hAnsi="仿宋_GB2312" w:eastAsia="仿宋_GB2312" w:cs="仿宋_GB2312"/>
          <w:sz w:val="28"/>
          <w:szCs w:val="28"/>
        </w:rPr>
        <w:t>4．质量保修完成后，由甲方组织验收。验收不合格的，甲方有权自行委托第三方修理，全部费用由乙方承担，由甲方与第三方确认后直接从质量保证金中扣除。</w:t>
      </w:r>
    </w:p>
    <w:p>
      <w:pPr>
        <w:pStyle w:val="13"/>
        <w:tabs>
          <w:tab w:val="left" w:pos="426"/>
        </w:tabs>
        <w:snapToGrid w:val="0"/>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五、保修费用</w:t>
      </w:r>
    </w:p>
    <w:p>
      <w:pPr>
        <w:pStyle w:val="13"/>
        <w:tabs>
          <w:tab w:val="left" w:pos="426"/>
        </w:tabs>
        <w:snapToGrid w:val="0"/>
        <w:spacing w:line="560" w:lineRule="exact"/>
        <w:ind w:firstLine="440"/>
        <w:rPr>
          <w:rFonts w:ascii="仿宋_GB2312" w:hAnsi="仿宋_GB2312" w:eastAsia="仿宋_GB2312" w:cs="仿宋_GB2312"/>
          <w:sz w:val="28"/>
          <w:szCs w:val="28"/>
        </w:rPr>
      </w:pPr>
      <w:r>
        <w:rPr>
          <w:rFonts w:hint="eastAsia" w:ascii="仿宋_GB2312" w:hAnsi="仿宋_GB2312" w:eastAsia="仿宋_GB2312" w:cs="仿宋_GB2312"/>
          <w:sz w:val="28"/>
          <w:szCs w:val="28"/>
        </w:rPr>
        <w:t>保修费用由造成质量缺陷的责任方承担；对责任方的确定产生疑问或争议的，依甲方委托的鉴定机构所出具的独立报告来确定。</w:t>
      </w:r>
    </w:p>
    <w:p>
      <w:pPr>
        <w:pStyle w:val="13"/>
        <w:tabs>
          <w:tab w:val="left" w:pos="426"/>
        </w:tabs>
        <w:snapToGrid w:val="0"/>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六、双方约定的其他工程质量保修事项： </w:t>
      </w:r>
    </w:p>
    <w:p>
      <w:pPr>
        <w:pStyle w:val="13"/>
        <w:tabs>
          <w:tab w:val="left" w:pos="426"/>
        </w:tabs>
        <w:snapToGrid w:val="0"/>
        <w:spacing w:line="560" w:lineRule="exact"/>
        <w:ind w:firstLine="440"/>
        <w:rPr>
          <w:rFonts w:ascii="仿宋_GB2312" w:hAnsi="仿宋_GB2312" w:eastAsia="仿宋_GB2312" w:cs="仿宋_GB2312"/>
          <w:sz w:val="28"/>
          <w:szCs w:val="28"/>
        </w:rPr>
      </w:pPr>
      <w:r>
        <w:rPr>
          <w:rFonts w:hint="eastAsia" w:ascii="仿宋_GB2312" w:hAnsi="仿宋_GB2312" w:eastAsia="仿宋_GB2312" w:cs="仿宋_GB2312"/>
          <w:sz w:val="28"/>
          <w:szCs w:val="28"/>
        </w:rPr>
        <w:t>1．在乙方人员到达之前，甲方可采取适当的应急措施，费用由乙方承担。</w:t>
      </w:r>
    </w:p>
    <w:p>
      <w:pPr>
        <w:pStyle w:val="13"/>
        <w:tabs>
          <w:tab w:val="left" w:pos="426"/>
        </w:tabs>
        <w:snapToGrid w:val="0"/>
        <w:spacing w:line="560" w:lineRule="exact"/>
        <w:ind w:firstLine="440"/>
        <w:rPr>
          <w:rFonts w:ascii="仿宋_GB2312" w:hAnsi="仿宋_GB2312" w:eastAsia="仿宋_GB2312" w:cs="仿宋_GB2312"/>
          <w:sz w:val="28"/>
          <w:szCs w:val="28"/>
        </w:rPr>
      </w:pPr>
      <w:r>
        <w:rPr>
          <w:rFonts w:hint="eastAsia" w:ascii="仿宋_GB2312" w:hAnsi="仿宋_GB2312" w:eastAsia="仿宋_GB2312" w:cs="仿宋_GB2312"/>
          <w:sz w:val="28"/>
          <w:szCs w:val="28"/>
        </w:rPr>
        <w:t>2．遇下列特殊情况的，乙方同意甲方或管理单位可以对一定金额（材料安装类5000元，土建类10000元）以内的维修项目进行应急处理，先行委托其他单位进行维修，所产生的维修费用由乙方承担。乙方应于收到通知后7日内支付甲方出具的通知书中确定的金额。</w:t>
      </w:r>
    </w:p>
    <w:p>
      <w:pPr>
        <w:pStyle w:val="13"/>
        <w:tabs>
          <w:tab w:val="left" w:pos="426"/>
        </w:tabs>
        <w:snapToGrid w:val="0"/>
        <w:spacing w:line="560" w:lineRule="exact"/>
        <w:ind w:firstLine="440"/>
        <w:rPr>
          <w:rFonts w:ascii="仿宋_GB2312" w:hAnsi="仿宋_GB2312" w:eastAsia="仿宋_GB2312" w:cs="仿宋_GB2312"/>
          <w:sz w:val="28"/>
          <w:szCs w:val="28"/>
        </w:rPr>
      </w:pPr>
      <w:r>
        <w:rPr>
          <w:rFonts w:hint="eastAsia" w:ascii="仿宋_GB2312" w:hAnsi="仿宋_GB2312" w:eastAsia="仿宋_GB2312" w:cs="仿宋_GB2312"/>
          <w:sz w:val="28"/>
          <w:szCs w:val="28"/>
        </w:rPr>
        <w:t>a．紧急抢修事故时，为避免损失进一步扩大；</w:t>
      </w:r>
    </w:p>
    <w:p>
      <w:pPr>
        <w:pStyle w:val="13"/>
        <w:tabs>
          <w:tab w:val="left" w:pos="426"/>
        </w:tabs>
        <w:snapToGrid w:val="0"/>
        <w:spacing w:line="560" w:lineRule="exact"/>
        <w:ind w:firstLine="440"/>
        <w:rPr>
          <w:rFonts w:ascii="仿宋_GB2312" w:hAnsi="仿宋_GB2312" w:eastAsia="仿宋_GB2312" w:cs="仿宋_GB2312"/>
          <w:sz w:val="28"/>
          <w:szCs w:val="28"/>
        </w:rPr>
      </w:pPr>
      <w:r>
        <w:rPr>
          <w:rFonts w:hint="eastAsia" w:ascii="仿宋_GB2312" w:hAnsi="仿宋_GB2312" w:eastAsia="仿宋_GB2312" w:cs="仿宋_GB2312"/>
          <w:sz w:val="28"/>
          <w:szCs w:val="28"/>
        </w:rPr>
        <w:t>b．直接影响到工程正常运行或危害人身财产及财产安全时；</w:t>
      </w:r>
    </w:p>
    <w:p>
      <w:pPr>
        <w:pStyle w:val="13"/>
        <w:tabs>
          <w:tab w:val="left" w:pos="426"/>
        </w:tabs>
        <w:snapToGrid w:val="0"/>
        <w:spacing w:line="560" w:lineRule="exact"/>
        <w:ind w:firstLine="440"/>
        <w:rPr>
          <w:rFonts w:ascii="仿宋_GB2312" w:hAnsi="仿宋_GB2312" w:eastAsia="仿宋_GB2312" w:cs="仿宋_GB2312"/>
          <w:sz w:val="28"/>
          <w:szCs w:val="28"/>
        </w:rPr>
      </w:pPr>
      <w:r>
        <w:rPr>
          <w:rFonts w:hint="eastAsia" w:ascii="仿宋_GB2312" w:hAnsi="仿宋_GB2312" w:eastAsia="仿宋_GB2312" w:cs="仿宋_GB2312"/>
          <w:sz w:val="28"/>
          <w:szCs w:val="28"/>
        </w:rPr>
        <w:t>3．甲方或工程管理单位认为需召开维保工作协调会时，乙方应当准时参加，会议上提出的问题必须当场确定解决方案，乙方对其派出与会人员的签字确认负全部责任，并应当执行会议决定。否则，视作乙方未履行维修义务。</w:t>
      </w:r>
    </w:p>
    <w:p>
      <w:pPr>
        <w:pStyle w:val="13"/>
        <w:tabs>
          <w:tab w:val="left" w:pos="426"/>
        </w:tabs>
        <w:snapToGrid w:val="0"/>
        <w:spacing w:line="560" w:lineRule="exact"/>
        <w:ind w:firstLine="440"/>
        <w:rPr>
          <w:rFonts w:ascii="仿宋_GB2312" w:hAnsi="仿宋_GB2312" w:eastAsia="仿宋_GB2312" w:cs="仿宋_GB2312"/>
          <w:sz w:val="28"/>
          <w:szCs w:val="28"/>
        </w:rPr>
      </w:pPr>
      <w:r>
        <w:rPr>
          <w:rFonts w:hint="eastAsia" w:ascii="仿宋_GB2312" w:hAnsi="仿宋_GB2312" w:eastAsia="仿宋_GB2312" w:cs="仿宋_GB2312"/>
          <w:sz w:val="28"/>
          <w:szCs w:val="28"/>
        </w:rPr>
        <w:t>4．因工程质量问题发生工程维修费用或对第三人赔偿损失的，甲方通知乙方应承担的费用或损失金额，乙方应于收到通知后7日内支付甲方出具的通知书中确定的金额。</w:t>
      </w:r>
    </w:p>
    <w:p>
      <w:pPr>
        <w:pStyle w:val="13"/>
        <w:tabs>
          <w:tab w:val="left" w:pos="426"/>
        </w:tabs>
        <w:snapToGrid w:val="0"/>
        <w:spacing w:line="560" w:lineRule="exact"/>
        <w:ind w:firstLine="440"/>
        <w:rPr>
          <w:rFonts w:ascii="仿宋_GB2312" w:hAnsi="仿宋_GB2312" w:eastAsia="仿宋_GB2312" w:cs="仿宋_GB2312"/>
          <w:sz w:val="28"/>
          <w:szCs w:val="28"/>
        </w:rPr>
      </w:pPr>
      <w:r>
        <w:rPr>
          <w:rFonts w:hint="eastAsia" w:ascii="仿宋_GB2312" w:hAnsi="仿宋_GB2312" w:eastAsia="仿宋_GB2312" w:cs="仿宋_GB2312"/>
          <w:sz w:val="28"/>
          <w:szCs w:val="28"/>
        </w:rPr>
        <w:t>5．乙方负责保修的质量，工程保修项目完成后须经甲方或工程管理单位代表验收签字方视为完成相应保修项目。工程保修项目应保证在六个月内不出现同类问题，否则，即使保修期满也应继续维修。对于更换了重要组件或整个设备的较大维修项目，保修日期应从设备更换或大修之日起重新按国家有关最低标准确定。</w:t>
      </w:r>
    </w:p>
    <w:p>
      <w:pPr>
        <w:pStyle w:val="13"/>
        <w:tabs>
          <w:tab w:val="left" w:pos="426"/>
        </w:tabs>
        <w:snapToGrid w:val="0"/>
        <w:spacing w:line="560" w:lineRule="exact"/>
        <w:ind w:firstLine="44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对同一工程质量问题经乙方维修两次后，再次发生该质量问题的，甲方工程管理部门有权安排自行维修或委托其他单位维修，所产生相关费用包括维修费等均由乙方承担。乙方应于收到通知后7日内支付甲方出具的通知书中确定的金额。</w:t>
      </w:r>
    </w:p>
    <w:p>
      <w:pPr>
        <w:pStyle w:val="13"/>
        <w:tabs>
          <w:tab w:val="left" w:pos="426"/>
        </w:tabs>
        <w:snapToGrid w:val="0"/>
        <w:spacing w:line="560" w:lineRule="exact"/>
        <w:ind w:firstLine="440"/>
        <w:rPr>
          <w:rFonts w:ascii="仿宋_GB2312" w:hAnsi="仿宋_GB2312" w:eastAsia="仿宋_GB2312" w:cs="仿宋_GB2312"/>
          <w:sz w:val="28"/>
          <w:szCs w:val="28"/>
        </w:rPr>
      </w:pPr>
      <w:r>
        <w:rPr>
          <w:rFonts w:hint="eastAsia" w:ascii="仿宋_GB2312" w:hAnsi="仿宋_GB2312" w:eastAsia="仿宋_GB2312" w:cs="仿宋_GB2312"/>
          <w:sz w:val="28"/>
          <w:szCs w:val="28"/>
        </w:rPr>
        <w:t>6．工程质量保修书由甲方、乙方在工程竣工验收前共同盖章，作为本施工合同附件，其有效期限至质保期届满且甲方书面确认乙方完成全部保修工作止。</w:t>
      </w:r>
    </w:p>
    <w:p>
      <w:pPr>
        <w:pStyle w:val="13"/>
        <w:snapToGrid w:val="0"/>
        <w:spacing w:line="560" w:lineRule="exact"/>
        <w:rPr>
          <w:rFonts w:ascii="仿宋_GB2312" w:hAnsi="仿宋_GB2312" w:eastAsia="仿宋_GB2312" w:cs="仿宋_GB2312"/>
          <w:sz w:val="28"/>
          <w:szCs w:val="28"/>
        </w:rPr>
      </w:pPr>
    </w:p>
    <w:p>
      <w:pPr>
        <w:pStyle w:val="13"/>
        <w:snapToGrid w:val="0"/>
        <w:spacing w:line="560" w:lineRule="exact"/>
        <w:rPr>
          <w:rFonts w:ascii="仿宋_GB2312" w:hAnsi="仿宋_GB2312" w:eastAsia="仿宋_GB2312" w:cs="仿宋_GB2312"/>
          <w:sz w:val="28"/>
          <w:szCs w:val="28"/>
        </w:rPr>
      </w:pPr>
    </w:p>
    <w:p>
      <w:pPr>
        <w:pStyle w:val="13"/>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甲方(公章)：                       乙方(公章)：             </w:t>
      </w:r>
    </w:p>
    <w:p>
      <w:pPr>
        <w:spacing w:line="560" w:lineRule="exact"/>
        <w:jc w:val="lef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jc w:val="left"/>
        <w:rPr>
          <w:rFonts w:ascii="黑体" w:hAnsi="黑体" w:eastAsia="黑体" w:cs="黑体"/>
          <w:sz w:val="32"/>
          <w:szCs w:val="32"/>
        </w:rPr>
      </w:pPr>
      <w:r>
        <w:rPr>
          <w:rFonts w:hint="eastAsia" w:ascii="黑体" w:hAnsi="黑体" w:eastAsia="黑体" w:cs="黑体"/>
          <w:sz w:val="32"/>
          <w:szCs w:val="32"/>
        </w:rPr>
        <w:t xml:space="preserve">附件3： </w:t>
      </w:r>
      <w:bookmarkStart w:id="18" w:name="_Hlk534811958"/>
    </w:p>
    <w:p>
      <w:pPr>
        <w:spacing w:line="5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32"/>
          <w:szCs w:val="32"/>
        </w:rPr>
        <w:t>安全文明施工协议书</w:t>
      </w:r>
      <w:bookmarkEnd w:id="18"/>
    </w:p>
    <w:p>
      <w:pPr>
        <w:pStyle w:val="13"/>
        <w:tabs>
          <w:tab w:val="left" w:pos="426"/>
        </w:tabs>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甲方（全称）：杭州萧山国际机场有限公司</w:t>
      </w:r>
    </w:p>
    <w:p>
      <w:pPr>
        <w:pStyle w:val="13"/>
        <w:tabs>
          <w:tab w:val="left" w:pos="426"/>
        </w:tabs>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乙方（全称）：   </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为了保护公民人身和国家财产安全，保障机场安全、有序运行和工程施工安全，保持良好的施工、生活秩序和饮食、环境卫生，维护双方的合法利益，明确双方责任，确保【杭州萧山国际机场T1T2T3航站楼漏水点专项维修项目】工程建设的顺利进行。根据国家现行的有关法律、法规和安全生产规范、规程及标准，经双方协商，签订本《安全文明施工协议书》。 </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一、甲方对乙方实行安全目标管理，安全目标的具体内容是：</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1、无责任死亡事故和群伤事件。</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2、无重大经济责任事故。</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3、无空防安全事故。</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4、无影响机场运行的不安全事件。</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5、无七类重大刑事案件（杀人、绑架、强奸、放火、爆炸、劫持、故意伤害致死）及其它严重、恶性案件。</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6、无因未足额、及时发放工资发生劳资纠纷。</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7、无集体食物中毒事件。</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8、无计划外生育。</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9、无因上述原因引发无序维权事件。</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上述情况的认定按国家和行业的有关规定和标准执行。</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二、甲方的权利和义务</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10、甲方有权对乙方执行国家和行业法律、法规、规章和技术标准以及履行工程合同和本协议书情况进行监督、检查和考核，有权监督乙方消除不安全隐患，乙方懈怠或拒绝本协议条款组织安全文明施工的，经甲方书面通知未按时限和要求整改的，甲方有权对违反协议行为追究违约责任或责令乙方停工整改直至终止合同。</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11、甲方联系和协调机场公安机关，督促施工单位按有关规定申报暂住登记和申领《居住证》，并协助乙方联系机场公安局商定有关工地安全保卫事宜。</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12、甲方利用施工例会等定期分析和掌握工程的治安情况，通报当前治安形势，交流工作经验，协助处理相关问题。</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13、乙方未按要求配备安全设施、设备、器材，未在限定期限内整改的，甲方有权直接购置并配足，另增加20%的管理费，费用由乙方承担。</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14、依据民航行业和机场相关要求，工地及临舍实施封闭管理，进出工地的人员和车辆实行通行证管理制度，甲方协助乙方及时办理相关人员和车辆的施工通行证件。甲方组织乙方项目部管理人员、班组长参加专门的安全教育培训和考试（主要是机场运行、空防、不停航施工等方面安全知识），乙方应按行业规范对施工人员进行安全教育培训，乙方不履行安全教育培训的，甲方可强制组织有偿培训及其它强制措施。</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15、甲方建立由监理、施工、设计单位为成员的安全管理网络，组织、协调安全管理工作，审核乙方及相关管理人员、特种作业人员的资质，督查乙方开展安全风险识别和评估，视情审查相应的安全技术措施。</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16、甲方对乙方的临时设施（包括临时宿舍）进行统一规划和监管，完成后临时设施场地应按甲方要求恢复原状。</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17、甲方应当向乙方提供施工现场及毗邻区域内供水、排水、供电、供热、通信、广播电视等地下管线资料，气象和水文观测资料，相邻建筑物和构筑物、地下工程的有关资料，并保证资料的真实、准确、完整。乙方因建设工程需要，向甲方查询前款规定的资料时，甲方应当及时提供。</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18、甲方不得对乙方提出不符合建设工程安全生产法律、法规和强制性标准的要求，不得要求乙方购买、租赁、使用不符合安全施工要求的安全防护用具、机械设备、施工机具及配件、消防设施和器材等，不得随意压缩合同约定的工期。</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19、甲方应按合同约定如期支付乙方工程款。</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三、乙方的安全、文明权利和义务</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遵守《中华人民共和国安全生产法》、《中华人民共和国建筑法》、《建设工程安全管理条例》、《浙江省建筑业管理条例》、《建筑施工安全检查标准》、《杭州市建设工地职工宿舍安全使用与管理》、《杭州萧山国际机场建设工程安全文明施工管理规定》和《杭州萧山国际机场建设工程安全文明施工应用手册》以及其他安全文明的法律、法规，遵守机场有关安全管理的规章制度。</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（一）安全文明施工管理</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20、落实施工安全责任，所涉工程依法实行总分包制的，总包单位应对施工安全负总责，以安全责任书的方式确定各分包单位的安全责任，乙方应层层签订安全责任书。</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21、乙方应开展风险管理，结合风险评估结果有针对性地制定和落实施工安全技术措施。</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22、乙方安全管理规章制度、操作规程、安全技术措施和专项施工方案以及项目经理、专职安全员、特种行业作业人员及其资格资质须向甲方备案，并持证上岗。对下列危险性较大的部分分项工程应当制定专项施工方案，按国家法律法规进行专家验证，且须经乙方技术负责人、总监理工程师审核签字后方可实施，并由专职安全生产管理人员进行现场监督： </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22.1 基坑与降水工程； </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22.2 土方开挖工程； </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22.3 模板工程； </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22.4 起重吊装工程； </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22.5 脚手架工程； </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22.6 焊接、切割、爆破、拆除作业工程； </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22.7国务院建设行政主管部门或其它有关部门规定的其它危险性较大的工程。</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23、乙方不得在机场和机场净空保护区范围内施放烟花、爆竹、气球等升空物体；建筑生活垃圾定点集中堆放，及时清运，不得随意焚烧垃圾等物品制造烟雾；不得饲养动物；不得随意丢弃飘浮物。</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24、乙方必须按照甲方的规划要求搭设临时设施，并经甲方验收合格方准使用。但甲方的验收并不免除乙方对其搭设的临时设施的安全承担全部责任。</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25、施工现场实行封闭式管理，沿工地四周连续设置围档，大门应设专职保安实施不间断的监管，并设监控设施。围档材料要求坚固、稳定、统一、整洁、美观，宜采用硬质材料。围挡设置高度不低于2.5米，施工区域与机场控制区间应设置硬质围档，并加装防攀爬设施。</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26、乙方应做好装修施工阶段成品保护工作，按照“谁主管、谁负责；谁使用、谁负责；谁管理、谁负责”的原则，制定成品保护管理办法，层层签订成品保护责任书，真正落实成品保护现场管理的各项措施。</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27、为保障民工合法权益，乙方还应承担以下义务：</w:t>
      </w:r>
    </w:p>
    <w:p>
      <w:pPr>
        <w:pStyle w:val="13"/>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27.1乙方应当在民工上岗作业之前，与下属劳务单位（或施工班组）共同对每位民工进行安全施工、规范用电、消防安全、文明行车、遵纪守法等方面的知识培训，特殊岗位必须进行资格审查，建立相关的管理制度及工作应急预案，对民工的工作、生活进行严格管理，并提供必要的工作保障和生活服务。</w:t>
      </w:r>
    </w:p>
    <w:p>
      <w:pPr>
        <w:pStyle w:val="13"/>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27.2乙方应当监管下属劳务单位在招录民工时必须与民工班组签订详细书面合同（无下属劳务单位的，乙方直接与下属施工班组签订），就具体的工种、工价、工作量、出勤、签工、质量控制、工期、验收、结算方式、何时支付工资、付款方式等要素进行约定，并且与每位民工签订书面劳动合同。</w:t>
      </w:r>
    </w:p>
    <w:p>
      <w:pPr>
        <w:pStyle w:val="13"/>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27.3乙方与下属劳务单位（或施工班组）双方就单价、工程量、造价、质量控制、结算方式、工期、验收、何时付款、付款方式等事项进行约定，临时增加的工程量必须以乙方出具的施工联系单作为依据，双方及时签字确认。</w:t>
      </w:r>
    </w:p>
    <w:p>
      <w:pPr>
        <w:pStyle w:val="13"/>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27.4乙方要按合同约定如期支付下属劳务单位（或施工班组）工程进度款，优先支付民工工资款，乙方与下属劳务单位（或施工班组）双方就民工工资款专设监管账户，未经乙方同意下属劳务单位（或施工班组）无法出账，做到专款专用。乙方对下属劳务单位（或施工班组）发放民工工资应当派员进行指导、监督，确保及时足额发放。</w:t>
      </w:r>
    </w:p>
    <w:p>
      <w:pPr>
        <w:pStyle w:val="13"/>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27.5乙方支付下属劳务单位（或施工班组）进度款之前，有义务查阅下属劳务单位（或施工班组）前期民工工资足额发放的书面材料。</w:t>
      </w:r>
    </w:p>
    <w:p>
      <w:pPr>
        <w:pStyle w:val="13"/>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27.6乙方应制定相关约束性制度，落实措施，预防、杜绝下属劳务单位（或施工班组）无序维权事件发生。</w:t>
      </w:r>
    </w:p>
    <w:p>
      <w:pPr>
        <w:pStyle w:val="13"/>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27.7若民工或下属劳务单位（或施工班组）维权，乙方应负相应举证义务。</w:t>
      </w:r>
    </w:p>
    <w:p>
      <w:pPr>
        <w:pStyle w:val="13"/>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27.8一旦发生民工无序维权，乙方主要领导应当及时到场，督促下属劳务单位（或施工班组）负责人劝离民工，并积极配合甲方相关部门协调处置。</w:t>
      </w:r>
    </w:p>
    <w:p>
      <w:pPr>
        <w:pStyle w:val="13"/>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甲方对乙方的上述工作有随时监督检查的权利，乙方应积极配合甲方的检查。</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（二）空防安全管理  </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28、必须严格遵守民用航空安全、空防管理的法律、法规和机场安全管理的各项规章制度。属于机场不停航施工项目或需进入机场控制区施工的项目，其人员和车辆实行机场控制区通行证管理制度。</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29、通行证的办理遵从《杭州萧山国际机场控制区通行证管理办法》规定。在申请办理人员通行证时应当提供真实有效的身份证明、证照及其它相关资料，并进行背景调查，防止有违法、犯罪记录的人员进入施工队伍；在申请办理车辆通行证时应当提供车辆、设备的有效证件和检验记录，并对其真实性负责。上述通行证由乙方提出申请，报甲方备案，办证费用由乙方自理。</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30、进入机场控制区施工的人员和车辆需由甲方派员负责引领并主动接受机场管理人员的安全检查，服从机场相关职能部门的监管，无通行证者一律不得进入。</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31、应当加强通行证的管理，建立管理台帐。通行证仅限持证本人、本车使用，严禁转借、涂改和冒用；持证人员发生调离、辞退、开除等情况的，应及时收回通行证交由甲方报机场公安机关注销；如发生人员和车辆通行证遗失的，应在第一时间向甲方报告；持证车辆重新调配或报废的，应及时将通行证交由甲方申报注销。上述环节因乙方管理不力发生问题的，乙方应承担由此引发的一切后果和责任。</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32、距运行中的控制区围界5米内严禁堆放材料、设施和停放车辆、机具。临近控制区一侧施工围栏必须做到符合高度要求，牢固可靠。施工期间，属于机场不停航施工或需进入机场控制区施工的，安全员必须坚守岗位并加强巡查和管理，同时加强对施工人员的空防安全教育，杜绝施工人员攀爬、翻越、跨越隔离围栏及其他安全防护设施和向控制区内传递物品等影响机场运行、空防安全的事件。</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（三）不停航施工安全管理（仅指进入控制区从事不停航施工项目）</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33、不停航施工是指在机场不关闭并按照航班计划接受和放行航空器的情况下，在飞行区、部分航站区内实施工程作业。不停航施工的项目单位，必须严格遵守《民用机场运行安全管理规定》（191号令），严格按照甲方制定的有关《不停航施工组织管理方案》进行施工，主要包括但不限于以下内容：</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33.1在机场有飞行任务期间，禁止在跑道端之外300米以内、跑道中心线两侧60米以内的区域进行任何施工作业。如乙方需在跑道端300米以外、跑道中心线两侧60米以外区域施工的，机具、车辆的高度不得穿透障碍物限制面。除特别批准外，在滑行道、机坪道面边线以外施工的，应当与道（坪）边线保持7.5米加上本机场使用最大机型翼展宽度0.5倍的距离。</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33.2实行不停航施工的区域，开挖的明沟和施工材料堆放处，必须根据甲方要求用桔黄色小旗标识以示警告；在低能见度的白天和夜间，应当按照甲方要求加设红色恒定灯光；材料和临时堆放的施工垃圾应当采取防止被风或飞机尾流吹散的措施。</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33.3施工机具须停放在指定安全区域内。机场开放运行期间，必须严格控制施工机械的活动范围，杜绝出现机具、车辆侵入飞行活动区或超越机场净空限制面等情况。</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（四）社会治安管理</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34、遵守国家治安管理法律法规和甲方制定的各项社会治安综合治理管理规定，建立社会治安综合治理网络并纳入甲方社会治安综合治理网络体系，配备专职（兼职）综治联络员，负责治安、交通、消防、帮教、计生等综合治理工作，建立和健全群防群治力量及各项治安保卫制度，治安联络员名单和有关制度要报甲方和机场公安机关治安管理部门备案。</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35、进出口大门应设立门卫，人员和车辆凭甲方制发的施工通行证进出，并接受甲方安保人员或机场公安管理人员查验。</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36、做好内部的治安防范工作，对重要部位和物资、设备，要落实人防、物防和技防的措施，积极配合公安机关组织的治安联防活动。</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37、加强对施工人员的遵纪守法教育，预防“黄、毒、赌”、斗殴、偷窃等违法违纪行为的发生，主动接受甲方和机场公安机关的指导、检查、监督、考核。</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38、认真排查、调处各类矛盾，及时消除不稳定因素，杜绝各类社会矛盾引发的群体性事件的发生。</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39、制定包括重大安全生产事故、重大道路交通事故、重大消防安全事故、重大刑事案件以及群体性事件等突发性事件在内的应急处置预案，一旦发生，及时报告甲方和上级主管部门并做好处置工作。</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40、员工宿舍必须定人定位，不得男女混住，不准留宿身份不明的人员，留客住宿必须经项目部负责人同意，并登记备查，保证生产、生活区的安全。 </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41、加强对施工人员的管理，外来人员拟居住30天以下的，应及时到机场公安机关申报暂住登记；拟居住30天以上的年满16周岁人员， 应在10天内到机场公安机关申领《居住证》。</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42、负责工程建设期间施工队伍中的计划生育工作，做好孕情监测，确保无计划外生育的情况发生。</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（五）消防安全管理</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43、遵守国家消防法律法规，建立和健全消防管理规章制度，明确消防安全责任人，健全消防安全网络（配备专职或兼职消防员），建立消防应急队伍，并报甲方和机场公安局消防部门备案。</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44、制定用火、用电、使用易燃易爆及危险化学物品等各项消防安全操作规程，设置消防通道、消防水源、配备必须的消防设备和灭火器材，并在重点场所重点部位设置消防警示标志。</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45、施工中使用明火，使用电、气进行焊接和切割作业，须经机场公安消防管理部门审查批准，并在施工现场设置专门的防火监护人、接火盆、配足有效的灭火器材、清理附近的可燃物等。</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46、对施工人员进行消防安全教育，使其熟悉本岗位防火措施、遇险报警、初期扑救及自救逃生的知识和技能。</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47、自行搭建临时用房应符合防火设计规范，建立、健全员工宿舍消防安全管理规章制度，加强员工宿舍消防安全、用电安全管理，严禁不按规定用火和私拉乱接电线、严禁使用大功率电器。</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（六）交通安全管理</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48、加强对下属员工、驾驶人员、承运单位的道路交通安全法律法规宣传教育，车辆进出机场和施工场地均应服从交警及其他交通管理人员的指挥和管理。</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49、与承运单位或驾驶员签订《交通安全责任书》，并实行交通安全检查考核制度，配备交通安全联络员，对运输车辆驾驶员和施工人员进行交通安全教育并做好教育台帐，减少或控制交通违法行为的发生。</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50、确保各类运输车辆技术状况良好，不得使用假牌、假证、无号牌、无行驶证、无保险和带故障、检验不合格的运输车辆。</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51、所有运输车辆均应办理施工通行证并按指定路线和限定速度行驶，不得违反车辆装载规定，严禁沿路抛洒装载物。进入控制区施工车辆应安装并开启黄色警示灯。</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52、在施工现场内及进、出口处设置必要的交通标志，预防交通事故的发生。</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53、占用、挖掘道路，跨越道路架设、铺设管线以及大型机械进出机场须提前与甲方协商，征得甲方和机场公安局交警队同意，并采取防护措施和设置明显警示标志方可实施。</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四、违约责任</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54、本《安全文明施工协议书》是工程施工合同的重要组成部分，协议双方必须严格遵守和履行，如有违反，甲方可以追究乙方责任；乙方违约情况严重，或是社会影响恶劣，又或是造成甲方或第三方重大损失，甲方可解除施工合同且不须向乙方承担任何补偿、赔偿的责任。</w:t>
      </w:r>
    </w:p>
    <w:p>
      <w:pPr>
        <w:pStyle w:val="13"/>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55、乙方在生产施工中一旦发生责任事故造成甲方或第三方损害而未予赔偿的，甲方有权直接从应付工程款中扣除或支付赔偿费用，如甲方的损失超过应付工程款的，甲方有权向乙方追偿实际损失。乙方违反安全文明施工管理、空防安全管理、不停航施工安全管理、社会治安管理、消防安全管理或交通安全管理条款的并造成甲方损失的，甲方有权要求乙方承担损失赔偿责任。若导致甲方遭受第三方的索赔，则甲方有权要求乙方承担该等赔偿责任。</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56、乙方未尽本协议应尽义务，致使民工或下属劳务单位（或施工班组）无序维权事件发生的，甲方可按争议金额暂扣乙方部分工程款，作为该事件的应急使用款。最终根据该争议仲裁、判决或协商结果，从乙方工程款中直接扣除。</w:t>
      </w:r>
    </w:p>
    <w:p>
      <w:pPr>
        <w:pStyle w:val="13"/>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乙方未尽本协应尽义务，致使民工采取堵路、封门、冲关、静坐、上访、私贴标语、殴打他人、损毁财物、扰乱秩序、绝食、自焚、自杀等方式维权的，乙方应当承担全部经济损失及赔偿责任，给甲方造成损失的，除赔偿甲方的全部损失外，乙方应对甲方承担违约责任：每发生事件一次支付违约金人民币一万元，在事件中每受伤一人支付违约金人民币五万元，每死亡一人支付违约金人民币一百万元，该笔款项甲方有权从工程款中直接扣除，不足抵扣部分由乙方及时补足。乙方构成本项违约的事实，以公安部门的接处警记录或实际损害结果的发生为准。</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57、乙方确认本协议约定的违约金、罚款或赔偿金标准合理，乙方同意受甲方依据本协议书所制定的具体违约金、罚款或赔偿金标准的约束，乙方确认其已明白无误地了解该等具体的扣罚标准，乙方承担了该等违约金、罚款和/或赔偿金并不免除其应按合同约定予以全面履行的义务和责任。</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五、本协议书附于《</w:t>
      </w:r>
      <w:r>
        <w:rPr>
          <w:rFonts w:hint="eastAsia" w:ascii="仿宋_GB2312" w:hAnsi="仿宋_GB2312" w:eastAsia="仿宋_GB2312" w:cs="仿宋_GB2312"/>
          <w:sz w:val="28"/>
          <w:szCs w:val="28"/>
          <w:u w:val="single"/>
        </w:rPr>
        <w:t>杭州萧山国际机场T1T2T3航站楼漏水点专项维修项目</w:t>
      </w:r>
      <w:r>
        <w:rPr>
          <w:rFonts w:hint="eastAsia" w:ascii="仿宋_GB2312" w:hAnsi="仿宋_GB2312" w:eastAsia="仿宋_GB2312" w:cs="仿宋_GB2312"/>
          <w:sz w:val="28"/>
          <w:szCs w:val="28"/>
        </w:rPr>
        <w:t>施工合同》后，本协议书自甲方、乙方共同盖章后生效。</w:t>
      </w:r>
    </w:p>
    <w:p>
      <w:pPr>
        <w:pStyle w:val="13"/>
        <w:adjustRightInd w:val="0"/>
        <w:snapToGrid w:val="0"/>
        <w:spacing w:line="560" w:lineRule="exact"/>
        <w:ind w:firstLine="560" w:firstLineChars="200"/>
        <w:rPr>
          <w:rFonts w:ascii="仿宋_GB2312" w:hAnsi="仿宋_GB2312" w:eastAsia="仿宋_GB2312" w:cs="仿宋_GB2312"/>
          <w:sz w:val="28"/>
          <w:szCs w:val="28"/>
        </w:rPr>
      </w:pP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甲方（盖章）：                 乙方（盖章）：</w:t>
      </w:r>
    </w:p>
    <w:p>
      <w:pPr>
        <w:spacing w:line="560" w:lineRule="exact"/>
        <w:rPr>
          <w:rFonts w:ascii="仿宋_GB2312" w:hAnsi="仿宋_GB2312" w:eastAsia="仿宋_GB2312" w:cs="仿宋_GB2312"/>
          <w:sz w:val="28"/>
          <w:szCs w:val="28"/>
        </w:rPr>
      </w:pPr>
    </w:p>
    <w:p>
      <w:pPr>
        <w:pageBreakBefore/>
        <w:adjustRightInd w:val="0"/>
        <w:snapToGrid w:val="0"/>
        <w:spacing w:line="560" w:lineRule="exact"/>
        <w:rPr>
          <w:rFonts w:ascii="黑体" w:hAnsi="黑体" w:eastAsia="黑体" w:cs="黑体"/>
          <w:sz w:val="32"/>
          <w:szCs w:val="32"/>
        </w:rPr>
      </w:pPr>
      <w:r>
        <w:rPr>
          <w:rFonts w:hint="eastAsia" w:ascii="黑体" w:hAnsi="黑体" w:eastAsia="黑体" w:cs="黑体"/>
          <w:sz w:val="32"/>
          <w:szCs w:val="32"/>
        </w:rPr>
        <w:t>附件3附件</w:t>
      </w:r>
    </w:p>
    <w:p>
      <w:pPr>
        <w:adjustRightInd w:val="0"/>
        <w:snapToGrid w:val="0"/>
        <w:spacing w:line="560" w:lineRule="exact"/>
        <w:ind w:firstLine="440" w:firstLineChars="200"/>
        <w:rPr>
          <w:rFonts w:ascii="仿宋_GB2312" w:hAnsi="仿宋_GB2312" w:eastAsia="仿宋_GB2312" w:cs="仿宋_GB2312"/>
          <w:sz w:val="22"/>
        </w:rPr>
      </w:pPr>
    </w:p>
    <w:p>
      <w:pPr>
        <w:adjustRightInd w:val="0"/>
        <w:snapToGrid w:val="0"/>
        <w:spacing w:line="56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杭州萧山国际机场基建项目安全文明施工考核办法</w:t>
      </w:r>
    </w:p>
    <w:p>
      <w:pPr>
        <w:widowControl/>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为了加强机场基建项目安全文明施工管理，保障机场安全有序运行，保证工程项目安全顺利建成。根据国家相关法律、法规和安全生产规范、规程、标准及与施工项目部签订的《杭州萧山国际机场安全文明施工协议书》，制定本考核办法。</w:t>
      </w:r>
    </w:p>
    <w:p>
      <w:pPr>
        <w:widowControl/>
        <w:adjustRightInd w:val="0"/>
        <w:snapToGrid w:val="0"/>
        <w:spacing w:line="560" w:lineRule="exact"/>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一、考核原则</w:t>
      </w:r>
    </w:p>
    <w:p>
      <w:pPr>
        <w:widowControl/>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预先通知原则。动力部（包括临时成立的检查小组）对于发现的安全问题隐患，首先开具《安全隐患整改通知书》（以下简称“整改通知书”，附后），施工项目部接到《整改通知书》后在指定期限内未整改到位的，按照本考核办法予以收取违约金，未预先书面通知的不予收取违约金。</w:t>
      </w:r>
    </w:p>
    <w:p>
      <w:pPr>
        <w:widowControl/>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奖励与收取违约金相结合原则。通过考核与评比，在杭州萧山国际机场有限公司或动力部组织的各类检查评比中，获得好评的的施工项目部将按照相关规定予以奖励；对违反国家相关法律、法规和安全生产规范、规程、标准及《杭州萧山国际机场安全文明施工协议书》的，将严格按照本考核办法扣罚。</w:t>
      </w:r>
    </w:p>
    <w:p>
      <w:pPr>
        <w:widowControl/>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考核与结算相结合原则。动力部（包括临时成立的检查小组）对其查出的安全问题隐患，经通知仍未整改的，开具《安全文明施工工作联系单》（以下简称“联系单”，附后）督促跟踪整改，并做好备案记录，一并于项目竣工后结算。</w:t>
      </w:r>
    </w:p>
    <w:p>
      <w:pPr>
        <w:widowControl/>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（四）考核与经济利益直接挂钩原则。以《安全文明施工工作联系单》确认的奖惩数额为准。</w:t>
      </w:r>
    </w:p>
    <w:p>
      <w:pPr>
        <w:widowControl/>
        <w:adjustRightInd w:val="0"/>
        <w:snapToGrid w:val="0"/>
        <w:spacing w:line="560" w:lineRule="exact"/>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二、适用范围</w:t>
      </w:r>
    </w:p>
    <w:p>
      <w:pPr>
        <w:widowControl/>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本考核办法适用于参与杭州萧山国际机场基本建设的各施工单位。与总包单位签订分包合同的分包单位纳入对总包单位的考核，不作为被考核主体。</w:t>
      </w:r>
    </w:p>
    <w:p>
      <w:pPr>
        <w:widowControl/>
        <w:adjustRightInd w:val="0"/>
        <w:snapToGrid w:val="0"/>
        <w:spacing w:line="560" w:lineRule="exact"/>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三、考核程序</w:t>
      </w:r>
    </w:p>
    <w:p>
      <w:pPr>
        <w:widowControl/>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整改通知书》的开具和签发。日常安全检查中发现施工项目部有违反国家相关法律、法规和安全生产规范、规程、标准及《杭州萧山国际机场安全文明施工协议书》行为的，由检查人员开具《整改通知书》，内容包括存在的安全隐患、整改建议和整改时限，经责任施工项目部或责任监理项目部签章后由检查人员签字、检查部门签章后生效。《整改通知书》一式三份，检查人员、责任施工项目部、责任监理项目部各持一份。</w:t>
      </w:r>
    </w:p>
    <w:p>
      <w:pPr>
        <w:widowControl/>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安全问题隐患的整改。施工项目部收到《整改通知书》后，应在指定的整改期限内将整改内容、措施逐一落实；确因客观因素或特殊原因无法按期整改到位的，项目部须以书面形式说明原因和明确后续整改期限，经监理部签署意见后报《整改通知书》签发人，经同意并签字后方可推迟整改期限，附在《整改通知书》后。</w:t>
      </w:r>
    </w:p>
    <w:p>
      <w:pPr>
        <w:widowControl/>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安全文明施工工作联系单》的开具和签发。《整改通知书》签发人会同责任施工、监理项目部人员按整改期限对安全问题隐患整改落实情况进行复查，对未整改落实的安全问题隐患由复查人员对照《杭州萧山国际机场基本建设安全文明施工违约金标准》（以下简称“违约金标准”，附后）开具《安全文明施工工作联系单》，内容包括整改通知书编号、违约金通知单编号和未按要求整改内容描述以及违约金额度，经责任施工或监理项目部签章后，由检查人员签字，检查部门盖章后签发。《安全文明施工工作联系单》一式四份，签发人、责任施工项目部、责任监理项目部各持一份，报动力部一份。</w:t>
      </w:r>
    </w:p>
    <w:p>
      <w:pPr>
        <w:widowControl/>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（四）考核最终汇总兑现。各施工项目部工程结束后由动力部计算出累计收取违约金总数，从工程履约保证金中扣除，但不得超过工程履约保证金的20%，若超出或无履约保证金则直接从工程进度款中扣除。</w:t>
      </w:r>
    </w:p>
    <w:p>
      <w:pPr>
        <w:widowControl/>
        <w:adjustRightInd w:val="0"/>
        <w:snapToGrid w:val="0"/>
        <w:spacing w:line="560" w:lineRule="exact"/>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四、其它</w:t>
      </w:r>
    </w:p>
    <w:p>
      <w:pPr>
        <w:widowControl/>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（一）施工项目部突破《杭州萧山国际机场安全文明施工协议书》安全控制目标内容之一的，不属于本办法考核范围，由动力部依据有关规定直接收取违约金。</w:t>
      </w:r>
    </w:p>
    <w:p>
      <w:pPr>
        <w:widowControl/>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（二）《违约金标准》中所称的“协议”是指杭州萧山国际机场有限公司与施工项目部签订的《杭州萧山国际机场安全文明施工协议书》及各种协议文件；“建标”是指《建筑施工安全检查标准》（JGJ59-2011）。</w:t>
      </w:r>
    </w:p>
    <w:p>
      <w:pPr>
        <w:widowControl/>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（三）施工项目部收到《安全文明施工工作联系单》后，在指定期限内仍未整改到位，加倍收取违约金直至整改到位为止。</w:t>
      </w:r>
    </w:p>
    <w:p>
      <w:pPr>
        <w:widowControl/>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（四）本考核办法未作规定，但已违反国家相关法律、法规和安全生产规范、规程、标准及《杭州萧山国际机场安全文明施工协议书》的行为，由动力部参照《违约金标准》相关规定收取违约金。</w:t>
      </w:r>
    </w:p>
    <w:p>
      <w:pPr>
        <w:widowControl/>
        <w:adjustRightInd w:val="0"/>
        <w:snapToGrid w:val="0"/>
        <w:spacing w:line="560" w:lineRule="exact"/>
        <w:ind w:left="420"/>
        <w:jc w:val="center"/>
        <w:rPr>
          <w:rFonts w:ascii="仿宋_GB2312" w:hAnsi="仿宋_GB2312" w:eastAsia="仿宋_GB2312" w:cs="仿宋_GB2312"/>
          <w:sz w:val="22"/>
        </w:rPr>
      </w:pPr>
      <w:r>
        <w:rPr>
          <w:rFonts w:hint="eastAsia" w:ascii="仿宋_GB2312" w:hAnsi="仿宋_GB2312" w:eastAsia="仿宋_GB2312" w:cs="仿宋_GB2312"/>
          <w:sz w:val="22"/>
        </w:rPr>
        <w:br w:type="page"/>
      </w:r>
      <w:r>
        <w:rPr>
          <w:rFonts w:hint="eastAsia" w:ascii="仿宋_GB2312" w:hAnsi="仿宋_GB2312" w:eastAsia="仿宋_GB2312" w:cs="仿宋_GB2312"/>
          <w:b/>
          <w:bCs/>
          <w:sz w:val="32"/>
          <w:szCs w:val="32"/>
        </w:rPr>
        <w:t>基建项目安全文明施工违约金标准</w:t>
      </w:r>
    </w:p>
    <w:p>
      <w:pPr>
        <w:widowControl/>
        <w:adjustRightInd w:val="0"/>
        <w:snapToGrid w:val="0"/>
        <w:spacing w:line="560" w:lineRule="exact"/>
        <w:ind w:firstLine="440" w:firstLineChars="200"/>
        <w:rPr>
          <w:rFonts w:ascii="仿宋_GB2312" w:hAnsi="仿宋_GB2312" w:eastAsia="仿宋_GB2312" w:cs="仿宋_GB2312"/>
          <w:sz w:val="22"/>
        </w:rPr>
      </w:pPr>
    </w:p>
    <w:tbl>
      <w:tblPr>
        <w:tblStyle w:val="12"/>
        <w:tblW w:w="9825" w:type="dxa"/>
        <w:jc w:val="center"/>
        <w:tblInd w:w="0" w:type="dxa"/>
        <w:tblLayout w:type="fixed"/>
        <w:tblCellMar>
          <w:top w:w="0" w:type="dxa"/>
          <w:left w:w="0" w:type="dxa"/>
          <w:bottom w:w="0" w:type="dxa"/>
          <w:right w:w="0" w:type="dxa"/>
        </w:tblCellMar>
      </w:tblPr>
      <w:tblGrid>
        <w:gridCol w:w="1113"/>
        <w:gridCol w:w="6390"/>
        <w:gridCol w:w="882"/>
        <w:gridCol w:w="1440"/>
      </w:tblGrid>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序列号</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内       容</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依据</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扣分标准</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1</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不停航施工</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b/>
                <w:sz w:val="28"/>
                <w:szCs w:val="28"/>
              </w:rPr>
            </w:pP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b/>
                <w:sz w:val="28"/>
                <w:szCs w:val="28"/>
              </w:rPr>
            </w:pP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未按照杭州国际机场不停航施工组织方案、安全保障措施进行施工作业影响机场正常运行或造成不安全事件的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方案</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无故不参加各类不停航施工例会、专题会议的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1.3</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未对施工人员进行空防安全和运行安全教育培训或教育培训无台帐记录的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方案</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100元/人</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1.4</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施工进场前未对施工人员进行安全教育或交底的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管理人员擅离岗位、未实施全程监管或未有效履行安全管理职责的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方案</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1.6</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现场不服从机场或动力部现场管理人员指挥、管理的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1.7</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未按规定设置或撤除关闭标志、警戒围栏、警示灯具的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方案</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1.8</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施工人员、车辆、机具擅自侵入飞行活动区或超出净空限制面高度的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1.9</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施工人员攀爬、翻越、跨越隔离围栏及其他安全防护设施或向控制区内传递物品等，尚未影响机场正常运行的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1.10</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施工人员、车辆、机具擅自超越指定施工活动范围或机具不按指定区域停放的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1.11</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距控制区围界5米内堆放材料、设备或停放车辆、机具，造成空防安全隐患的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1.12</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不按要求作业，挖破或挖断地下管线</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1.13</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未按规定对材料、临时堆放物、施工垃圾采取防风、防尾流吹散措施的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500元/处、次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1.14</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施工现场随意丢弃生活垃圾及易漂浮物的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200元/件</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1.15</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未做到工完场清，沿线道面、施工现场遗留工具、材料、垃圾未及时清理清扫的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1.16</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进入控制区施工的车辆存在灯光、转向、制动等机械故障和尾部无放大号的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方案</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100元/辆、次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1.17</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在控制区内行驶车辆未安装或未开启黄色警示灯的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50元/处次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1.18</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控制区车辆驾驶员在控制区内有违章驾驶行为的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1.19</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无应急处置预案和机制，发生紧急情况未能及时有效处置，影响机场正常运行的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1.20</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发生其它违反《民用机场运行安全管理规定》（191号令）和杭州萧山国际机场安全运行管理规定行为的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方案</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视情收取违约金</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2</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空防安全</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b/>
                <w:sz w:val="28"/>
                <w:szCs w:val="28"/>
              </w:rPr>
            </w:pP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b/>
                <w:sz w:val="28"/>
                <w:szCs w:val="28"/>
              </w:rPr>
            </w:pP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2.1</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进入控制区的人员不服从机场管理人员的管理、检查的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100元/人、次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2.2</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把关不严，提供虚假证明、证件或其它相关资料申办控制区人员通行证的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2.3</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提供虚假车辆、设备证件、检验记录和保险凭证申办《车辆通行证》的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200元/辆、次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2.4</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车辆证件、检验记录和保险凭证过期失效未补办后续手续，仍进入控制区施工作业的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50元/辆、次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2.5</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未建立控制区通行证统一保管制度，无控制区通行证管理台帐或台帐记录不全的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2.6</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发生无证施工人员进入控制区的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50元/人次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2.7</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发生施工人员转借、涂改、冒用他人通行证的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1000元/人次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2.8</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人员、车辆通行证保管不善，造成丢失；或通行证遗失不及时上报的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500元/张、次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2.9</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人员调离、辞退、开除，车辆重新调配，或通行证到期，证件未在规定时限内交回注销的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200元/张、次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2.10</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施工队伍中有违法、犯罪人员，隐瞒不报的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2000元/人次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2.11</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毗邻控制区施工，未安装沿围界监控探头或监控探头存有盲区（段），监控无专人值守或值守人员离岗脱岗的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视情收取违约金</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2.12</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毗邻控制区施工，沿围界未设置专门看护的固定和巡逻保安岗位、保安人员擅离岗位或保安人员未履职管理的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1000元/人、次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2.13</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在机场区域内燃放烟花、爆竹，或施放气球、风筝等升空物体的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2.14</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在机场区域内饲养猫、狗、鸡、鸭等牲畜、动物的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2.15</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其它违反民用航空安全、法律、法规和机场空防安全管理规定的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视情收取违约金</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3</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安全生产</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b/>
                <w:sz w:val="28"/>
                <w:szCs w:val="28"/>
              </w:rPr>
            </w:pP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b/>
                <w:sz w:val="28"/>
                <w:szCs w:val="28"/>
              </w:rPr>
            </w:pP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3.1</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安全生产管理体制</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3.1.1</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安全管理制度不健全，项目经理、项目技术负责人等各类管理人员（包括安全员、资料员、质控员）未按相关规定要求到位的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5000元/项</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3.1.2</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安全制度执行不力，无考核机制或考核制度执行不严</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500元/项</w:t>
            </w:r>
          </w:p>
        </w:tc>
      </w:tr>
      <w:tr>
        <w:tblPrEx>
          <w:tblLayout w:type="fixed"/>
          <w:tblCellMar>
            <w:top w:w="0" w:type="dxa"/>
            <w:left w:w="0" w:type="dxa"/>
            <w:bottom w:w="0" w:type="dxa"/>
            <w:right w:w="0" w:type="dxa"/>
          </w:tblCellMar>
        </w:tblPrEx>
        <w:trPr>
          <w:trHeight w:val="300"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3.1.3</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安全责任制未建立</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500元/项</w:t>
            </w:r>
          </w:p>
        </w:tc>
      </w:tr>
      <w:tr>
        <w:tblPrEx>
          <w:tblLayout w:type="fixed"/>
          <w:tblCellMar>
            <w:top w:w="0" w:type="dxa"/>
            <w:left w:w="0" w:type="dxa"/>
            <w:bottom w:w="0" w:type="dxa"/>
            <w:right w:w="0" w:type="dxa"/>
          </w:tblCellMar>
        </w:tblPrEx>
        <w:trPr>
          <w:trHeight w:val="300"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3.1.4</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安全责任制不健全，未层层签订至班组或岗位的各级安全责任书</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1000元/项</w:t>
            </w:r>
          </w:p>
        </w:tc>
      </w:tr>
      <w:tr>
        <w:tblPrEx>
          <w:tblLayout w:type="fixed"/>
          <w:tblCellMar>
            <w:top w:w="0" w:type="dxa"/>
            <w:left w:w="0" w:type="dxa"/>
            <w:bottom w:w="0" w:type="dxa"/>
            <w:right w:w="0" w:type="dxa"/>
          </w:tblCellMar>
        </w:tblPrEx>
        <w:trPr>
          <w:trHeight w:val="285"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3.1.5</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各级各部门未执行责任制的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500元/项</w:t>
            </w:r>
          </w:p>
        </w:tc>
      </w:tr>
      <w:tr>
        <w:tblPrEx>
          <w:tblLayout w:type="fixed"/>
          <w:tblCellMar>
            <w:top w:w="0" w:type="dxa"/>
            <w:left w:w="0" w:type="dxa"/>
            <w:bottom w:w="0" w:type="dxa"/>
            <w:right w:w="0" w:type="dxa"/>
          </w:tblCellMar>
        </w:tblPrEx>
        <w:trPr>
          <w:trHeight w:val="300"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3.1.6</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经济承包中无安全生产、文明施工目标管理或目标管理不落实</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1000元/项</w:t>
            </w:r>
          </w:p>
        </w:tc>
      </w:tr>
      <w:tr>
        <w:tblPrEx>
          <w:tblLayout w:type="fixed"/>
          <w:tblCellMar>
            <w:top w:w="0" w:type="dxa"/>
            <w:left w:w="0" w:type="dxa"/>
            <w:bottom w:w="0" w:type="dxa"/>
            <w:right w:w="0" w:type="dxa"/>
          </w:tblCellMar>
        </w:tblPrEx>
        <w:trPr>
          <w:trHeight w:val="255"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3.1.7</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未制定各工种安全技术操作规程的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500元/项</w:t>
            </w:r>
          </w:p>
        </w:tc>
      </w:tr>
      <w:tr>
        <w:tblPrEx>
          <w:tblLayout w:type="fixed"/>
          <w:tblCellMar>
            <w:top w:w="0" w:type="dxa"/>
            <w:left w:w="0" w:type="dxa"/>
            <w:bottom w:w="0" w:type="dxa"/>
            <w:right w:w="0" w:type="dxa"/>
          </w:tblCellMar>
        </w:tblPrEx>
        <w:trPr>
          <w:trHeight w:val="283"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3.1.8</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专（兼）职安全员不按规定如数到位的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500元/人</w:t>
            </w:r>
          </w:p>
        </w:tc>
      </w:tr>
      <w:tr>
        <w:tblPrEx>
          <w:tblLayout w:type="fixed"/>
          <w:tblCellMar>
            <w:top w:w="0" w:type="dxa"/>
            <w:left w:w="0" w:type="dxa"/>
            <w:bottom w:w="0" w:type="dxa"/>
            <w:right w:w="0" w:type="dxa"/>
          </w:tblCellMar>
        </w:tblPrEx>
        <w:trPr>
          <w:trHeight w:val="300"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3.1.9</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单位内部安全网络未建立或不健全</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300元/次</w:t>
            </w:r>
          </w:p>
        </w:tc>
      </w:tr>
      <w:tr>
        <w:tblPrEx>
          <w:tblLayout w:type="fixed"/>
          <w:tblCellMar>
            <w:top w:w="0" w:type="dxa"/>
            <w:left w:w="0" w:type="dxa"/>
            <w:bottom w:w="0" w:type="dxa"/>
            <w:right w:w="0" w:type="dxa"/>
          </w:tblCellMar>
        </w:tblPrEx>
        <w:trPr>
          <w:trHeight w:val="300"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3.1.10</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拒绝或拖延加入基建安全网络</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200元/次</w:t>
            </w:r>
          </w:p>
        </w:tc>
      </w:tr>
      <w:tr>
        <w:tblPrEx>
          <w:tblLayout w:type="fixed"/>
          <w:tblCellMar>
            <w:top w:w="0" w:type="dxa"/>
            <w:left w:w="0" w:type="dxa"/>
            <w:bottom w:w="0" w:type="dxa"/>
            <w:right w:w="0" w:type="dxa"/>
          </w:tblCellMar>
        </w:tblPrEx>
        <w:trPr>
          <w:trHeight w:val="300"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3.1.11</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无故不参加动力部组织的各种安全会议、网络活动</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200元/次</w:t>
            </w:r>
          </w:p>
        </w:tc>
      </w:tr>
      <w:tr>
        <w:tblPrEx>
          <w:tblLayout w:type="fixed"/>
          <w:tblCellMar>
            <w:top w:w="0" w:type="dxa"/>
            <w:left w:w="0" w:type="dxa"/>
            <w:bottom w:w="0" w:type="dxa"/>
            <w:right w:w="0" w:type="dxa"/>
          </w:tblCellMar>
        </w:tblPrEx>
        <w:trPr>
          <w:trHeight w:val="300"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3.1.12</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不按规定开展各级、各类安全教育培训，未按规定设置民工学校</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500元/次</w:t>
            </w:r>
          </w:p>
        </w:tc>
      </w:tr>
      <w:tr>
        <w:tblPrEx>
          <w:tblLayout w:type="fixed"/>
          <w:tblCellMar>
            <w:top w:w="0" w:type="dxa"/>
            <w:left w:w="0" w:type="dxa"/>
            <w:bottom w:w="0" w:type="dxa"/>
            <w:right w:w="0" w:type="dxa"/>
          </w:tblCellMar>
        </w:tblPrEx>
        <w:trPr>
          <w:trHeight w:val="300"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3.1.13</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对施工人员无安全教育或安全教育无针对性</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200元/次</w:t>
            </w:r>
          </w:p>
        </w:tc>
      </w:tr>
      <w:tr>
        <w:tblPrEx>
          <w:tblLayout w:type="fixed"/>
          <w:tblCellMar>
            <w:top w:w="0" w:type="dxa"/>
            <w:left w:w="0" w:type="dxa"/>
            <w:bottom w:w="0" w:type="dxa"/>
            <w:right w:w="0" w:type="dxa"/>
          </w:tblCellMar>
        </w:tblPrEx>
        <w:trPr>
          <w:trHeight w:val="300"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3.1.14</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无日常安全检查、定期安全检查、专项安全检查记录或记录不全</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100元/次</w:t>
            </w:r>
          </w:p>
        </w:tc>
      </w:tr>
      <w:tr>
        <w:tblPrEx>
          <w:tblLayout w:type="fixed"/>
          <w:tblCellMar>
            <w:top w:w="0" w:type="dxa"/>
            <w:left w:w="0" w:type="dxa"/>
            <w:bottom w:w="0" w:type="dxa"/>
            <w:right w:w="0" w:type="dxa"/>
          </w:tblCellMar>
        </w:tblPrEx>
        <w:trPr>
          <w:trHeight w:val="225"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3.1.15</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无安全管理台账或安全管理台账缺失不全</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2000元/次</w:t>
            </w:r>
          </w:p>
        </w:tc>
      </w:tr>
      <w:tr>
        <w:tblPrEx>
          <w:tblLayout w:type="fixed"/>
          <w:tblCellMar>
            <w:top w:w="0" w:type="dxa"/>
            <w:left w:w="0" w:type="dxa"/>
            <w:bottom w:w="0" w:type="dxa"/>
            <w:right w:w="0" w:type="dxa"/>
          </w:tblCellMar>
        </w:tblPrEx>
        <w:trPr>
          <w:trHeight w:val="300"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3.1.16</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对查出的隐患整改做不到定人、定时间、定措施进行整改落实的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1000元/次</w:t>
            </w:r>
          </w:p>
        </w:tc>
      </w:tr>
      <w:tr>
        <w:tblPrEx>
          <w:tblLayout w:type="fixed"/>
          <w:tblCellMar>
            <w:top w:w="0" w:type="dxa"/>
            <w:left w:w="0" w:type="dxa"/>
            <w:bottom w:w="0" w:type="dxa"/>
            <w:right w:w="0" w:type="dxa"/>
          </w:tblCellMar>
        </w:tblPrEx>
        <w:trPr>
          <w:trHeight w:val="186"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3.1.17</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对隐患整改通知书所列项目未如期整改完成的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1000元/张</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3.2</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施工组织</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trHeight w:val="285"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3.2.1</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无施工组织设计或施工组织设计未经审批的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10000元/次</w:t>
            </w:r>
          </w:p>
        </w:tc>
      </w:tr>
      <w:tr>
        <w:tblPrEx>
          <w:tblLayout w:type="fixed"/>
          <w:tblCellMar>
            <w:top w:w="0" w:type="dxa"/>
            <w:left w:w="0" w:type="dxa"/>
            <w:bottom w:w="0" w:type="dxa"/>
            <w:right w:w="0" w:type="dxa"/>
          </w:tblCellMar>
        </w:tblPrEx>
        <w:trPr>
          <w:trHeight w:val="270"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3.2.2</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施工组织设计中无安全措施或安全措施不全面、无针对性</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500元/次</w:t>
            </w:r>
          </w:p>
        </w:tc>
      </w:tr>
      <w:tr>
        <w:tblPrEx>
          <w:tblLayout w:type="fixed"/>
          <w:tblCellMar>
            <w:top w:w="0" w:type="dxa"/>
            <w:left w:w="0" w:type="dxa"/>
            <w:bottom w:w="0" w:type="dxa"/>
            <w:right w:w="0" w:type="dxa"/>
          </w:tblCellMar>
        </w:tblPrEx>
        <w:trPr>
          <w:trHeight w:val="270"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3.2.3</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专业性较强、危险性较大的项目，未单独编制专项安全施工组织设计、未制定专项施工方案或未经过专家论证的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10000元/次</w:t>
            </w:r>
          </w:p>
        </w:tc>
      </w:tr>
      <w:tr>
        <w:tblPrEx>
          <w:tblLayout w:type="fixed"/>
          <w:tblCellMar>
            <w:top w:w="0" w:type="dxa"/>
            <w:left w:w="0" w:type="dxa"/>
            <w:bottom w:w="0" w:type="dxa"/>
            <w:right w:w="0" w:type="dxa"/>
          </w:tblCellMar>
        </w:tblPrEx>
        <w:trPr>
          <w:trHeight w:val="270"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3.2.4</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施工组织设计安全措施未落实或落实有漏项的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500元/条</w:t>
            </w:r>
          </w:p>
        </w:tc>
      </w:tr>
      <w:tr>
        <w:tblPrEx>
          <w:tblLayout w:type="fixed"/>
          <w:tblCellMar>
            <w:top w:w="0" w:type="dxa"/>
            <w:left w:w="0" w:type="dxa"/>
            <w:bottom w:w="0" w:type="dxa"/>
            <w:right w:w="0" w:type="dxa"/>
          </w:tblCellMar>
        </w:tblPrEx>
        <w:trPr>
          <w:trHeight w:val="370"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3.2.5</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不按规定进行安全技术交底，或交底不全、交底针对性不强</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3.3</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现场安全设施和措施</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rPr>
                <w:rFonts w:ascii="仿宋_GB2312" w:hAnsi="仿宋_GB2312" w:eastAsia="仿宋_GB2312" w:cs="仿宋_GB2312"/>
                <w:sz w:val="28"/>
                <w:szCs w:val="28"/>
              </w:rPr>
            </w:pP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3.3.1</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使用国家明令淘汰、禁止使用的危及施工安全的工艺、设备、材料的。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1000元</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3.3.2</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地面开挖作业未对毗邻建筑物、构筑物和地下管线等采取专项防护措施的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Layout w:type="fixed"/>
          <w:tblCellMar>
            <w:top w:w="0" w:type="dxa"/>
            <w:left w:w="0" w:type="dxa"/>
            <w:bottom w:w="0" w:type="dxa"/>
            <w:right w:w="0" w:type="dxa"/>
          </w:tblCellMar>
        </w:tblPrEx>
        <w:trPr>
          <w:trHeight w:val="195"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3.3.3</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基坑支护无方案或不按方案实施的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10000元/次</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3.3.4</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未按规定进行基坑支护变形监测和对毗邻建筑物、重要管线、道路进行沉降观测的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5000元/次</w:t>
            </w:r>
          </w:p>
        </w:tc>
      </w:tr>
      <w:tr>
        <w:tblPrEx>
          <w:tblLayout w:type="fixed"/>
          <w:tblCellMar>
            <w:top w:w="0" w:type="dxa"/>
            <w:left w:w="0" w:type="dxa"/>
            <w:bottom w:w="0" w:type="dxa"/>
            <w:right w:w="0" w:type="dxa"/>
          </w:tblCellMar>
        </w:tblPrEx>
        <w:trPr>
          <w:trHeight w:val="257"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3.3.5</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支护设施产生局部变形未采取措施调整的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1000元/处</w:t>
            </w:r>
          </w:p>
        </w:tc>
      </w:tr>
      <w:tr>
        <w:tblPrEx>
          <w:tblLayout w:type="fixed"/>
          <w:tblCellMar>
            <w:top w:w="0" w:type="dxa"/>
            <w:left w:w="0" w:type="dxa"/>
            <w:bottom w:w="0" w:type="dxa"/>
            <w:right w:w="0" w:type="dxa"/>
          </w:tblCellMar>
        </w:tblPrEx>
        <w:trPr>
          <w:trHeight w:val="240"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3.3.6</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基坑施工未设置有效排水措施，或深基础施工采用坑外降水，无防止临近建筑危险沉降措施的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1000元/次</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3.3.7</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积土、料具堆放、机械设备施工距槽边距离小于设计规定，又无措施的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3.3.8</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基坑内作业人员无必要安全防护措施和充足照明的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200元/人、处</w:t>
            </w:r>
          </w:p>
        </w:tc>
      </w:tr>
      <w:tr>
        <w:tblPrEx>
          <w:tblLayout w:type="fixed"/>
          <w:tblCellMar>
            <w:top w:w="0" w:type="dxa"/>
            <w:left w:w="0" w:type="dxa"/>
            <w:bottom w:w="0" w:type="dxa"/>
            <w:right w:w="0" w:type="dxa"/>
          </w:tblCellMar>
        </w:tblPrEx>
        <w:trPr>
          <w:trHeight w:val="245"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3.3.9</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支模架施工未按施工专项方案实施的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Layout w:type="fixed"/>
          <w:tblCellMar>
            <w:top w:w="0" w:type="dxa"/>
            <w:left w:w="0" w:type="dxa"/>
            <w:bottom w:w="0" w:type="dxa"/>
            <w:right w:w="0" w:type="dxa"/>
          </w:tblCellMar>
        </w:tblPrEx>
        <w:trPr>
          <w:trHeight w:val="340"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3.3.10</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临边无防护措施，防护设施不规范或有空档、超过间隙的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Layout w:type="fixed"/>
          <w:tblCellMar>
            <w:top w:w="0" w:type="dxa"/>
            <w:left w:w="0" w:type="dxa"/>
            <w:bottom w:w="0" w:type="dxa"/>
            <w:right w:w="0" w:type="dxa"/>
          </w:tblCellMar>
        </w:tblPrEx>
        <w:trPr>
          <w:trHeight w:val="285"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3.3.11</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高处作业不按规定设置防坠网或防坠网规格、材质、覆盖面积不符合要求的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Layout w:type="fixed"/>
          <w:tblCellMar>
            <w:top w:w="0" w:type="dxa"/>
            <w:left w:w="0" w:type="dxa"/>
            <w:bottom w:w="0" w:type="dxa"/>
            <w:right w:w="0" w:type="dxa"/>
          </w:tblCellMar>
        </w:tblPrEx>
        <w:trPr>
          <w:trHeight w:val="299"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3.3.12</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各种洞（井）口、梯口、通道口无防护措施，防护措施不符合要求或不严密，未形成定型化、工具化的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Layout w:type="fixed"/>
          <w:tblCellMar>
            <w:top w:w="0" w:type="dxa"/>
            <w:left w:w="0" w:type="dxa"/>
            <w:bottom w:w="0" w:type="dxa"/>
            <w:right w:w="0" w:type="dxa"/>
          </w:tblCellMar>
        </w:tblPrEx>
        <w:trPr>
          <w:trHeight w:val="299"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3.3.13</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电梯井不封闭，电梯井内每隔两层(不大于l0m)少一道平网的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Layout w:type="fixed"/>
          <w:tblCellMar>
            <w:top w:w="0" w:type="dxa"/>
            <w:left w:w="0" w:type="dxa"/>
            <w:bottom w:w="0" w:type="dxa"/>
            <w:right w:w="0" w:type="dxa"/>
          </w:tblCellMar>
        </w:tblPrEx>
        <w:trPr>
          <w:trHeight w:val="209"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3.3.14</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通道口无防护棚，通道口防护不严或防护棚不牢固、材质不符合要求的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Layout w:type="fixed"/>
          <w:tblCellMar>
            <w:top w:w="0" w:type="dxa"/>
            <w:left w:w="0" w:type="dxa"/>
            <w:bottom w:w="0" w:type="dxa"/>
            <w:right w:w="0" w:type="dxa"/>
          </w:tblCellMar>
        </w:tblPrEx>
        <w:trPr>
          <w:trHeight w:val="326"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3.3.15</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脚手架、升降、吊装等设施设备的拆装队伍没有取得资格证书的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500元/个</w:t>
            </w:r>
          </w:p>
        </w:tc>
      </w:tr>
      <w:tr>
        <w:tblPrEx>
          <w:tblLayout w:type="fixed"/>
          <w:tblCellMar>
            <w:top w:w="0" w:type="dxa"/>
            <w:left w:w="0" w:type="dxa"/>
            <w:bottom w:w="0" w:type="dxa"/>
            <w:right w:w="0" w:type="dxa"/>
          </w:tblCellMar>
        </w:tblPrEx>
        <w:trPr>
          <w:trHeight w:val="24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3.3.16</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脚手架、脚手板等不按要求搭设，空隙过大或材质不符合要求的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3.3.17</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安全密目网不牢固、不严密或材质、设置不符合要求的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3.3.18</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脚手架超载或荷载不均匀、堆放杂物或垃圾清理不及时的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Layout w:type="fixed"/>
          <w:tblCellMar>
            <w:top w:w="0" w:type="dxa"/>
            <w:left w:w="0" w:type="dxa"/>
            <w:bottom w:w="0" w:type="dxa"/>
            <w:right w:w="0" w:type="dxa"/>
          </w:tblCellMar>
        </w:tblPrEx>
        <w:trPr>
          <w:trHeight w:val="271"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3.3.19</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未设专用通道或通道设置不符合要求的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3.3.20</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脚手架拆卸时不实行区域隔离，无专人看护等保护性安全措施的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200元/次</w:t>
            </w:r>
          </w:p>
        </w:tc>
      </w:tr>
      <w:tr>
        <w:tblPrEx>
          <w:tblLayout w:type="fixed"/>
          <w:tblCellMar>
            <w:top w:w="0" w:type="dxa"/>
            <w:left w:w="0" w:type="dxa"/>
            <w:bottom w:w="0" w:type="dxa"/>
            <w:right w:w="0" w:type="dxa"/>
          </w:tblCellMar>
        </w:tblPrEx>
        <w:trPr>
          <w:trHeight w:val="298"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3.3.21</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移动脚手架安全措施不到位，存在安全隐患的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200元/次</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3.3.22</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卸料台搭设不符合设计要求或不按规范要求搭建的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3.3.23</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升降、吊装作业未设警戒区、无专业人员指挥、无专人警戒或管理的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3.3.24</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升降、吊装设备无围栏、防护门，无安全警示等安全设施的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3.3.25</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升降、吊装设备无防坠装置或防坠装置不符合设计、规范要求的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3.3.26</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升降、吊装设备钢丝绳绳径倍数不足、磨损、断丝超标，地锚埋没不符合设计要求</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3.3.27</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升降、吊装设备无专人日常维护，未按规定定期检验、检查或检查无记录，检验检查出的问题不及时整改的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3.3.28</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违章操作或违章使用升降、吊装设备，超重作业的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3.3.29</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移动式吊装装置不符合设计、方案和规范要求，存在安全隐患的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3.3.30</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钢丝绳、绳卡、地锚等不符合规范和安全要求,或钢丝绳锈蚀、缺油、磨损超标的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Layout w:type="fixed"/>
          <w:tblCellMar>
            <w:top w:w="0" w:type="dxa"/>
            <w:left w:w="0" w:type="dxa"/>
            <w:bottom w:w="0" w:type="dxa"/>
            <w:right w:w="0" w:type="dxa"/>
          </w:tblCellMar>
        </w:tblPrEx>
        <w:trPr>
          <w:trHeight w:val="340"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3.3.31</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无防风、避雷装置和措施，或防风避雷装置措施不符合要求的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3.3.32</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各类用电设施、设备、施工机具未做保护接零、无漏电保护装置的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Layout w:type="fixed"/>
          <w:tblCellMar>
            <w:top w:w="0" w:type="dxa"/>
            <w:left w:w="0" w:type="dxa"/>
            <w:bottom w:w="0" w:type="dxa"/>
            <w:right w:w="0" w:type="dxa"/>
          </w:tblCellMar>
        </w:tblPrEx>
        <w:trPr>
          <w:trHeight w:val="70"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3.3.33</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机具、设备使用无安全防护装置或保险装置的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500元/项</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3.3.34</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使用Ⅰ类手持电动工具不按规定穿戴绝缘用品的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200元/人</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3.3.35</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施工机具无人操作时未切断电源的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3.3.36</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电焊机无防雨罩的，焊把线接头超过3处或绝缘老化的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3.3.37</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各机械作业场所无防雨棚和作业台不安全的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3.4</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现场安全管理</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rPr>
                <w:rFonts w:ascii="仿宋_GB2312" w:hAnsi="仿宋_GB2312" w:eastAsia="仿宋_GB2312" w:cs="仿宋_GB2312"/>
                <w:b/>
                <w:sz w:val="28"/>
                <w:szCs w:val="28"/>
              </w:rPr>
            </w:pP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3.4.1</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各类操作人员无证上岗的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300元/人、次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3.4.2</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专业性较强、危险性较大施工作业，现场无专业人员、安全管理人员旁站看护的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3.4.3</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作业人员不服管理、违反规章制度和操作规程冒险作业的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3.4.4</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施工人员不戴安全帽、高处作业人员不系安全带或不按要求系安全带</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200元/人</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3.4.5</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现场未按规定采取设置安全网等保障措施的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3.4.6</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施工人员在施工现场抽烟的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50元/人</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b/>
                <w:sz w:val="28"/>
                <w:szCs w:val="28"/>
              </w:rPr>
              <w:t>.5</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施工用电</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b/>
                <w:sz w:val="28"/>
                <w:szCs w:val="28"/>
              </w:rPr>
            </w:pP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trHeight w:val="249"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3.5.1</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外电小于安全距离无防护措施、防护措施不符合要求的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1000元/处</w:t>
            </w:r>
          </w:p>
        </w:tc>
      </w:tr>
      <w:tr>
        <w:tblPrEx>
          <w:tblLayout w:type="fixed"/>
          <w:tblCellMar>
            <w:top w:w="0" w:type="dxa"/>
            <w:left w:w="0" w:type="dxa"/>
            <w:bottom w:w="0" w:type="dxa"/>
            <w:right w:w="0" w:type="dxa"/>
          </w:tblCellMar>
        </w:tblPrEx>
        <w:trPr>
          <w:trHeight w:val="231"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3.5.2</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未采用TN—S接零保护系统的、三级漏电保护系统的；专用保护零线（PE线）设置不符合要求的、或保护零线（PE线）与工作零线（N线）混接的；纯动力电未用四芯电缆的，动力带照明电未使用五芯电缆的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Layout w:type="fixed"/>
          <w:tblCellMar>
            <w:top w:w="0" w:type="dxa"/>
            <w:left w:w="0" w:type="dxa"/>
            <w:bottom w:w="0" w:type="dxa"/>
            <w:right w:w="0" w:type="dxa"/>
          </w:tblCellMar>
        </w:tblPrEx>
        <w:trPr>
          <w:trHeight w:val="285"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3.5.3</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开关箱(末级)无漏电保护或保护器失灵、漏电保护装置参数不匹配</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Layout w:type="fixed"/>
          <w:tblCellMar>
            <w:top w:w="0" w:type="dxa"/>
            <w:left w:w="0" w:type="dxa"/>
            <w:bottom w:w="0" w:type="dxa"/>
            <w:right w:w="0" w:type="dxa"/>
          </w:tblCellMar>
        </w:tblPrEx>
        <w:trPr>
          <w:trHeight w:val="271"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3.5.4</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违反“—机、一闸、一漏、一箱”的配置原则</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Layout w:type="fixed"/>
          <w:tblCellMar>
            <w:top w:w="0" w:type="dxa"/>
            <w:left w:w="0" w:type="dxa"/>
            <w:bottom w:w="0" w:type="dxa"/>
            <w:right w:w="0" w:type="dxa"/>
          </w:tblCellMar>
        </w:tblPrEx>
        <w:trPr>
          <w:trHeight w:val="271"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3.5.5</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安装位置不当、周围杂物多不便操作、存在安全隐患</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Layout w:type="fixed"/>
          <w:tblCellMar>
            <w:top w:w="0" w:type="dxa"/>
            <w:left w:w="0" w:type="dxa"/>
            <w:bottom w:w="0" w:type="dxa"/>
            <w:right w:w="0" w:type="dxa"/>
          </w:tblCellMar>
        </w:tblPrEx>
        <w:trPr>
          <w:trHeight w:val="340"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3.5.6</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电箱下引出线混乱、配电箱内多路配电无标记的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Layout w:type="fixed"/>
          <w:tblCellMar>
            <w:top w:w="0" w:type="dxa"/>
            <w:left w:w="0" w:type="dxa"/>
            <w:bottom w:w="0" w:type="dxa"/>
            <w:right w:w="0" w:type="dxa"/>
          </w:tblCellMar>
        </w:tblPrEx>
        <w:trPr>
          <w:trHeight w:val="299"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3.5.7</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电箱无门、无锁、无防雨措施或无责任人的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300元/处</w:t>
            </w:r>
          </w:p>
        </w:tc>
      </w:tr>
      <w:tr>
        <w:tblPrEx>
          <w:tblLayout w:type="fixed"/>
          <w:tblCellMar>
            <w:top w:w="0" w:type="dxa"/>
            <w:left w:w="0" w:type="dxa"/>
            <w:bottom w:w="0" w:type="dxa"/>
            <w:right w:w="0" w:type="dxa"/>
          </w:tblCellMar>
        </w:tblPrEx>
        <w:trPr>
          <w:trHeight w:val="285"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3.5.8</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室内线路及灯具安全高度低于2.4m未使用安全电压供电的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Layout w:type="fixed"/>
          <w:tblCellMar>
            <w:top w:w="0" w:type="dxa"/>
            <w:left w:w="0" w:type="dxa"/>
            <w:bottom w:w="0" w:type="dxa"/>
            <w:right w:w="0" w:type="dxa"/>
          </w:tblCellMar>
        </w:tblPrEx>
        <w:trPr>
          <w:trHeight w:val="326"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3.5.9</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潮湿作业环境中未使用36v以下安全电压照明灯具的、手持照明灯未使用36v及以下电源供电</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Layout w:type="fixed"/>
          <w:tblCellMar>
            <w:top w:w="0" w:type="dxa"/>
            <w:left w:w="0" w:type="dxa"/>
            <w:bottom w:w="0" w:type="dxa"/>
            <w:right w:w="0" w:type="dxa"/>
          </w:tblCellMar>
        </w:tblPrEx>
        <w:trPr>
          <w:trHeight w:val="258"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3.5.10</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电线老化、破皮、未按规范包扎的、电线私拉乱接、无过路保护的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Layout w:type="fixed"/>
          <w:tblCellMar>
            <w:top w:w="0" w:type="dxa"/>
            <w:left w:w="0" w:type="dxa"/>
            <w:bottom w:w="0" w:type="dxa"/>
            <w:right w:w="0" w:type="dxa"/>
          </w:tblCellMar>
        </w:tblPrEx>
        <w:trPr>
          <w:trHeight w:val="353"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3.5.11</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电杆、横担、架空线路不符合施工规范要求</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Layout w:type="fixed"/>
          <w:tblCellMar>
            <w:top w:w="0" w:type="dxa"/>
            <w:left w:w="0" w:type="dxa"/>
            <w:bottom w:w="0" w:type="dxa"/>
            <w:right w:w="0" w:type="dxa"/>
          </w:tblCellMar>
        </w:tblPrEx>
        <w:trPr>
          <w:trHeight w:val="367"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3.5.12</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无用电管理档案、无接地极阻值摇测记录、电工巡视维修记录或填写不真实的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200元/项</w:t>
            </w:r>
          </w:p>
        </w:tc>
      </w:tr>
      <w:tr>
        <w:tblPrEx>
          <w:tblLayout w:type="fixed"/>
          <w:tblCellMar>
            <w:top w:w="0" w:type="dxa"/>
            <w:left w:w="0" w:type="dxa"/>
            <w:bottom w:w="0" w:type="dxa"/>
            <w:right w:w="0" w:type="dxa"/>
          </w:tblCellMar>
        </w:tblPrEx>
        <w:trPr>
          <w:trHeight w:val="312"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4</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消防安全与危险品管理</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4.1</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未制定消防安全管理规章制度或规章制度不健全的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500元/项</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4.2</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未制定各工种用火、用电、使用易燃材料等各项消防安全操作规程的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500元/项</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4.3</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未健全消防安全网络（配备专职或兼职消防员），并报备的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200元/项</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4.4</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无专（兼）职义务消防队，或消防队员未掌握基本消防知识和操作技能的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200元/项</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4.5</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未制定灭火和应急疏散预案并开展消防应急演练的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500元/项</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4.6</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未组织开展各类防火检查，并及时采取措施整改发现的隐患、问题的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200元/项</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4.7</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对重大消防安全隐患未能及时整改、处理的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500元/次</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4.8</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未建立消防安全管理台帐或台帐缺失的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200元/项</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4.9</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未组织开展消防安全知识教育培训，施工人员不了解本岗位防火措施、遇险报警、初期扑救及自救逃生的知识和技能的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200元/次</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4.10</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施工现场未设置必要足够安全疏散指示标志、防火禁烟标志机场火警电话的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200元/项</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4.11</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重点消防部位无人看护或巡视、无消防警示标志牌，值守巡视人员脱岗或不履行职责的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300元/处</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4.12</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易燃、易爆物品不按规定进行分类存放或管理不善、无人看护、管理的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4.13</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未设或侵占疏散通道、安全出口、消防通道，或通道出口不畅通、应急照明不符合规定的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4.14</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工地现场未设置消火水源（消火栓）或消火水源不齐全、不合理，不能满足消防要求的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Layout w:type="fixed"/>
          <w:tblCellMar>
            <w:top w:w="0" w:type="dxa"/>
            <w:left w:w="0" w:type="dxa"/>
            <w:bottom w:w="0" w:type="dxa"/>
            <w:right w:w="0" w:type="dxa"/>
          </w:tblCellMar>
        </w:tblPrEx>
        <w:trPr>
          <w:trHeight w:val="300"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4.15</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工地现场灭火器、灭火砂、水桶、铁锹等消防设施、器材配置不全、不足、失效，或被遮挡影响使用，或被挪作他用的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4.16</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灭火器材无专人维护、保养、检查和登记管理的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200元/项</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4.17</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违章关闭消防设施、切断电源或挪用消防灭火器材的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4.18</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动火作业未经机场公安消防管理部门审查批准的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200元/次</w:t>
            </w:r>
          </w:p>
        </w:tc>
      </w:tr>
      <w:tr>
        <w:tblPrEx>
          <w:tblLayout w:type="fixed"/>
          <w:tblCellMar>
            <w:top w:w="0" w:type="dxa"/>
            <w:left w:w="0" w:type="dxa"/>
            <w:bottom w:w="0" w:type="dxa"/>
            <w:right w:w="0" w:type="dxa"/>
          </w:tblCellMar>
        </w:tblPrEx>
        <w:trPr>
          <w:trHeight w:val="326"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4.19</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施工现场未及时清理地面可燃物，动火作业未清理地面可燃物的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500元/处、次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4.20</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动火作业无接火盆、现场无看火人、灭火器材配备不足、过期、失效的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200元/处、项</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4.21</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动火作业火花隔层溅落未采取有效安全措施的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4.22</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气瓶无标准色标，无防震圈和防护帽的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4.23</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气瓶横放或气瓶间距小于5米、距明火小于10米又无隔离措施的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4.24</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乙炔瓶使用或存放时平放或不按规定存放的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4.25</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发生其它违反国家消防法律法规，消防安全管理规章制度现象的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视情收取违约金</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5</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文明施工</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5.1</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未编制安全文明施工专项方案</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1000-5000元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5.2</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未按照规定进行安全文明施工检查并作书面记录</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500-5000元</w:t>
            </w:r>
          </w:p>
        </w:tc>
      </w:tr>
      <w:tr>
        <w:tblPrEx>
          <w:tblLayout w:type="fixed"/>
          <w:tblCellMar>
            <w:top w:w="0" w:type="dxa"/>
            <w:left w:w="0" w:type="dxa"/>
            <w:bottom w:w="0" w:type="dxa"/>
            <w:right w:w="0" w:type="dxa"/>
          </w:tblCellMar>
        </w:tblPrEx>
        <w:trPr>
          <w:trHeight w:val="375"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5.3</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未按照规定设置施工告示牌、公示牌</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1000-10000元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5.4</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设置临时通道不符合要求</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5000-30000元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5.5</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未设置门卫值班室的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1000-5000元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5.6</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未按照规定设置围挡的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2000-10000元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5.7</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未按照规定对施工现场进行硬化处理、设置通道或者未按照规定设置泥浆沉淀池的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5000-30000元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5.8</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未按照规定堆放建筑材料或者废弃物的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1000-5000元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5.9</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设置的脚手架、安全网不符合规定要求的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1000-10000元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5.10</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未按照规定采取防止扬尘措施的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2000-10000元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5.11</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未采取有效的遮蔽措施的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500-5000元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5.12</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施工作业中挖损管线的；若再次发生，加倍收取违约金</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1000-5000元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5.13</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在施工现场焚烧建筑垃圾、生活垃圾以及其他产生有毒有害气体的物质，使用污染严重的燃料或者未按照规定使用农药、化肥的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200-2000元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5.14</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未按照规定设置办公、生活用房的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1000-10000元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5.15</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未按照规定设置食堂或者制定现场食物中毒应急预案的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1000-10000元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5.16</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未在施工现场设置饮用水设施、设置吸烟区不符合规定或者未按照规定设置厕所的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5.17</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监理单位未履行安全文明施工监理职责的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2000-10000元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6</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临时宿舍管理</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6.1</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宿舍区管理制度不健全，未落实日常管理责任人</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200元/项</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6.2</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宿舍区无专（兼）职治安、防火、卫生管理监督巡视员</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6.3</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宿舍区未实行封闭管理，留宿外来人员无登记制度、存在男女混居现象的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100元/项</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6.4</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在尚未竣工的建筑物内设置临设的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6.5</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临时宿舍、设施未经验收合格投入使用的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6.6</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临时宿舍、设施无抗大风（10级以上）、防雷击措施的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200元/项</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6.7</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宿舍区消防器材配备不足或失效的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6.8</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宿舍内未设置独立的漏电、短路保护器和足够数量的安全插座，存在私拉乱接电线现象的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200元/项</w:t>
            </w:r>
          </w:p>
        </w:tc>
      </w:tr>
      <w:tr>
        <w:tblPrEx>
          <w:tblLayout w:type="fixed"/>
          <w:tblCellMar>
            <w:top w:w="0" w:type="dxa"/>
            <w:left w:w="0" w:type="dxa"/>
            <w:bottom w:w="0" w:type="dxa"/>
            <w:right w:w="0" w:type="dxa"/>
          </w:tblCellMar>
        </w:tblPrEx>
        <w:trPr>
          <w:trHeight w:val="304" w:hRule="atLeast"/>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6.9</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宿舍内（包括值班室）违规使用大功率电器的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6.10</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宿舍内混杂堆放工具、用具、易燃易爆或有毒物品的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6.11</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宿舍内垃圾无人清扫，生活用品放置零乱的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6.12</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无卫生防病宣传教育,或无保健医药箱、急救器材、急救措施和经培训的急救人员的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100元/项</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6.13</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食堂卫生管理制度不全，管理不善，设施不全，卫生不符合要求，未按要求设置足够数量开水炉、电热水器或饮用水保温桶等基本生活设施的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200元/项</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6.14</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宿舍区未提供为作业人员晾晒衣物的场地和设施</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50元/项</w:t>
            </w:r>
          </w:p>
        </w:tc>
      </w:tr>
      <w:tr>
        <w:tblPrEx>
          <w:tblLayout w:type="fixed"/>
          <w:tblCellMar>
            <w:top w:w="0" w:type="dxa"/>
            <w:left w:w="0" w:type="dxa"/>
            <w:bottom w:w="0" w:type="dxa"/>
            <w:right w:w="0" w:type="dxa"/>
          </w:tblCellMar>
        </w:tblPrEx>
        <w:trPr>
          <w:trHeight w:val="330"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6.15</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宿舍区未设置水冲式厕所和符合要求淋浴室的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100元/项</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6.16</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宿舍生活区未设置施工人员学习娱乐场所的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100元/项</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6.17</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宿舍区墙壁屋顶不严密、门窗不齐全，或通风效果差的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100元/项</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6.18</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宿舍无保暖、防暑、防蚊虫叮咬措施的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100元/项</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6.19</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宿舍生活区、大门口及周围毗邻区域垃圾未装容器，垃圾清扫、清运不及时、排水不畅，环境卫生不符合要求的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300元/项</w:t>
            </w:r>
          </w:p>
        </w:tc>
      </w:tr>
    </w:tbl>
    <w:p>
      <w:pPr>
        <w:adjustRightInd w:val="0"/>
        <w:snapToGrid w:val="0"/>
        <w:spacing w:line="560" w:lineRule="exact"/>
        <w:ind w:firstLine="440" w:firstLineChars="200"/>
        <w:rPr>
          <w:rFonts w:ascii="宋体" w:hAnsi="宋体" w:cs="仿宋"/>
          <w:sz w:val="22"/>
        </w:rPr>
      </w:pPr>
    </w:p>
    <w:p>
      <w:pPr>
        <w:adjustRightInd w:val="0"/>
        <w:snapToGrid w:val="0"/>
        <w:spacing w:line="560" w:lineRule="exact"/>
        <w:ind w:left="420"/>
        <w:jc w:val="center"/>
        <w:rPr>
          <w:rFonts w:ascii="仿宋_GB2312" w:hAnsi="仿宋_GB2312" w:eastAsia="仿宋_GB2312" w:cs="仿宋_GB2312"/>
          <w:sz w:val="28"/>
          <w:szCs w:val="28"/>
        </w:rPr>
      </w:pPr>
      <w:r>
        <w:rPr>
          <w:rFonts w:hint="eastAsia" w:ascii="宋体" w:hAnsi="宋体" w:cs="仿宋"/>
          <w:sz w:val="22"/>
        </w:rPr>
        <w:br w:type="page"/>
      </w:r>
      <w:r>
        <w:rPr>
          <w:rFonts w:hint="eastAsia" w:ascii="仿宋_GB2312" w:hAnsi="仿宋_GB2312" w:eastAsia="仿宋_GB2312" w:cs="仿宋_GB2312"/>
          <w:sz w:val="28"/>
          <w:szCs w:val="28"/>
        </w:rPr>
        <w:t>安全隐患整改通知书</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基建（安）第   号</w:t>
      </w:r>
    </w:p>
    <w:tbl>
      <w:tblPr>
        <w:tblStyle w:val="12"/>
        <w:tblW w:w="9660" w:type="dxa"/>
        <w:jc w:val="center"/>
        <w:tblInd w:w="0" w:type="dxa"/>
        <w:tblLayout w:type="fixed"/>
        <w:tblCellMar>
          <w:top w:w="0" w:type="dxa"/>
          <w:left w:w="0" w:type="dxa"/>
          <w:bottom w:w="0" w:type="dxa"/>
          <w:right w:w="0" w:type="dxa"/>
        </w:tblCellMar>
      </w:tblPr>
      <w:tblGrid>
        <w:gridCol w:w="842"/>
        <w:gridCol w:w="1365"/>
        <w:gridCol w:w="2730"/>
        <w:gridCol w:w="2250"/>
        <w:gridCol w:w="1050"/>
        <w:gridCol w:w="1423"/>
      </w:tblGrid>
      <w:tr>
        <w:tblPrEx>
          <w:tblLayout w:type="fixed"/>
          <w:tblCellMar>
            <w:top w:w="0" w:type="dxa"/>
            <w:left w:w="0" w:type="dxa"/>
            <w:bottom w:w="0" w:type="dxa"/>
            <w:right w:w="0" w:type="dxa"/>
          </w:tblCellMar>
        </w:tblPrEx>
        <w:trPr>
          <w:trHeight w:val="449" w:hRule="atLeast"/>
          <w:jc w:val="center"/>
        </w:trPr>
        <w:tc>
          <w:tcPr>
            <w:tcW w:w="220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工程名称</w:t>
            </w:r>
          </w:p>
        </w:tc>
        <w:tc>
          <w:tcPr>
            <w:tcW w:w="27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c>
          <w:tcPr>
            <w:tcW w:w="22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责任施工项目部</w:t>
            </w:r>
          </w:p>
        </w:tc>
        <w:tc>
          <w:tcPr>
            <w:tcW w:w="247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trHeight w:val="449" w:hRule="atLeast"/>
          <w:jc w:val="center"/>
        </w:trPr>
        <w:tc>
          <w:tcPr>
            <w:tcW w:w="220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责任监理项目部</w:t>
            </w:r>
          </w:p>
        </w:tc>
        <w:tc>
          <w:tcPr>
            <w:tcW w:w="27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c>
          <w:tcPr>
            <w:tcW w:w="22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责任人（甲方）</w:t>
            </w:r>
          </w:p>
        </w:tc>
        <w:tc>
          <w:tcPr>
            <w:tcW w:w="247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trHeight w:val="643" w:hRule="atLeast"/>
          <w:jc w:val="center"/>
        </w:trPr>
        <w:tc>
          <w:tcPr>
            <w:tcW w:w="8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40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存在的安全隐患</w:t>
            </w:r>
          </w:p>
        </w:tc>
        <w:tc>
          <w:tcPr>
            <w:tcW w:w="33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整改建议</w:t>
            </w:r>
          </w:p>
        </w:tc>
        <w:tc>
          <w:tcPr>
            <w:tcW w:w="1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整改期限</w:t>
            </w:r>
          </w:p>
        </w:tc>
      </w:tr>
      <w:tr>
        <w:tblPrEx>
          <w:tblLayout w:type="fixed"/>
          <w:tblCellMar>
            <w:top w:w="0" w:type="dxa"/>
            <w:left w:w="0" w:type="dxa"/>
            <w:bottom w:w="0" w:type="dxa"/>
            <w:right w:w="0" w:type="dxa"/>
          </w:tblCellMar>
        </w:tblPrEx>
        <w:trPr>
          <w:trHeight w:val="1488" w:hRule="atLeast"/>
          <w:jc w:val="center"/>
        </w:trPr>
        <w:tc>
          <w:tcPr>
            <w:tcW w:w="8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p>
        </w:tc>
        <w:tc>
          <w:tcPr>
            <w:tcW w:w="40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p>
        </w:tc>
        <w:tc>
          <w:tcPr>
            <w:tcW w:w="33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p>
        </w:tc>
        <w:tc>
          <w:tcPr>
            <w:tcW w:w="1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trHeight w:val="1421" w:hRule="atLeast"/>
          <w:jc w:val="center"/>
        </w:trPr>
        <w:tc>
          <w:tcPr>
            <w:tcW w:w="8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p>
        </w:tc>
        <w:tc>
          <w:tcPr>
            <w:tcW w:w="40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p>
        </w:tc>
        <w:tc>
          <w:tcPr>
            <w:tcW w:w="33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p>
        </w:tc>
        <w:tc>
          <w:tcPr>
            <w:tcW w:w="1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trHeight w:val="1346" w:hRule="atLeast"/>
          <w:jc w:val="center"/>
        </w:trPr>
        <w:tc>
          <w:tcPr>
            <w:tcW w:w="8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p>
        </w:tc>
        <w:tc>
          <w:tcPr>
            <w:tcW w:w="40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p>
        </w:tc>
        <w:tc>
          <w:tcPr>
            <w:tcW w:w="33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p>
        </w:tc>
        <w:tc>
          <w:tcPr>
            <w:tcW w:w="1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trHeight w:val="1451" w:hRule="atLeast"/>
          <w:jc w:val="center"/>
        </w:trPr>
        <w:tc>
          <w:tcPr>
            <w:tcW w:w="8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p>
        </w:tc>
        <w:tc>
          <w:tcPr>
            <w:tcW w:w="40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p>
        </w:tc>
        <w:tc>
          <w:tcPr>
            <w:tcW w:w="33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p>
        </w:tc>
        <w:tc>
          <w:tcPr>
            <w:tcW w:w="1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trHeight w:val="1944" w:hRule="atLeast"/>
          <w:jc w:val="center"/>
        </w:trPr>
        <w:tc>
          <w:tcPr>
            <w:tcW w:w="4937"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责任单位项目部（签章）：</w:t>
            </w:r>
          </w:p>
        </w:tc>
        <w:tc>
          <w:tcPr>
            <w:tcW w:w="4723"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检查人员（签字）：</w:t>
            </w:r>
          </w:p>
          <w:p>
            <w:pPr>
              <w:adjustRightInd w:val="0"/>
              <w:snapToGrid w:val="0"/>
              <w:spacing w:line="560" w:lineRule="exact"/>
              <w:rPr>
                <w:rFonts w:ascii="仿宋_GB2312" w:hAnsi="仿宋_GB2312" w:eastAsia="仿宋_GB2312" w:cs="仿宋_GB2312"/>
                <w:sz w:val="28"/>
                <w:szCs w:val="28"/>
              </w:rPr>
            </w:pP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检查时间：</w:t>
            </w:r>
          </w:p>
        </w:tc>
      </w:tr>
      <w:tr>
        <w:tblPrEx>
          <w:tblLayout w:type="fixed"/>
          <w:tblCellMar>
            <w:top w:w="0" w:type="dxa"/>
            <w:left w:w="0" w:type="dxa"/>
            <w:bottom w:w="0" w:type="dxa"/>
            <w:right w:w="0" w:type="dxa"/>
          </w:tblCellMar>
        </w:tblPrEx>
        <w:trPr>
          <w:trHeight w:val="1915" w:hRule="atLeast"/>
          <w:jc w:val="center"/>
        </w:trPr>
        <w:tc>
          <w:tcPr>
            <w:tcW w:w="9660"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检查部门（签章）</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二○　　年　　月　　　日</w:t>
            </w:r>
          </w:p>
        </w:tc>
      </w:tr>
    </w:tbl>
    <w:p>
      <w:pPr>
        <w:adjustRightInd w:val="0"/>
        <w:snapToGrid w:val="0"/>
        <w:spacing w:line="3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注：1、施工项目部收到本通知单后，须在指定时限内完成整改，并递交《施工安全隐患整改回复单》；2、本通知书一式三份，检查人员、责任施工项目部、责任监理项目部各持一份。3、表格中的签章是指签字或盖章。</w:t>
      </w:r>
    </w:p>
    <w:p>
      <w:pPr>
        <w:adjustRightInd w:val="0"/>
        <w:snapToGrid w:val="0"/>
        <w:spacing w:line="360" w:lineRule="exact"/>
        <w:ind w:left="42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br w:type="page"/>
      </w:r>
      <w:r>
        <w:rPr>
          <w:rFonts w:hint="eastAsia" w:ascii="仿宋_GB2312" w:hAnsi="仿宋_GB2312" w:eastAsia="仿宋_GB2312" w:cs="仿宋_GB2312"/>
          <w:sz w:val="28"/>
          <w:szCs w:val="28"/>
        </w:rPr>
        <w:t>安全文明施工工作联系单（收取违约金）</w:t>
      </w:r>
    </w:p>
    <w:p>
      <w:pPr>
        <w:adjustRightInd w:val="0"/>
        <w:snapToGrid w:val="0"/>
        <w:spacing w:line="560" w:lineRule="exact"/>
        <w:ind w:firstLine="560" w:firstLineChars="20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基建（安）第   号</w:t>
      </w:r>
    </w:p>
    <w:tbl>
      <w:tblPr>
        <w:tblStyle w:val="12"/>
        <w:tblW w:w="9735" w:type="dxa"/>
        <w:jc w:val="center"/>
        <w:tblInd w:w="0" w:type="dxa"/>
        <w:tblLayout w:type="fixed"/>
        <w:tblCellMar>
          <w:top w:w="0" w:type="dxa"/>
          <w:left w:w="0" w:type="dxa"/>
          <w:bottom w:w="0" w:type="dxa"/>
          <w:right w:w="0" w:type="dxa"/>
        </w:tblCellMar>
      </w:tblPr>
      <w:tblGrid>
        <w:gridCol w:w="1382"/>
        <w:gridCol w:w="527"/>
        <w:gridCol w:w="568"/>
        <w:gridCol w:w="768"/>
        <w:gridCol w:w="104"/>
        <w:gridCol w:w="3148"/>
        <w:gridCol w:w="3238"/>
      </w:tblGrid>
      <w:tr>
        <w:tblPrEx>
          <w:tblLayout w:type="fixed"/>
          <w:tblCellMar>
            <w:top w:w="0" w:type="dxa"/>
            <w:left w:w="0" w:type="dxa"/>
            <w:bottom w:w="0" w:type="dxa"/>
            <w:right w:w="0" w:type="dxa"/>
          </w:tblCellMar>
        </w:tblPrEx>
        <w:trPr>
          <w:trHeight w:val="630" w:hRule="atLeast"/>
          <w:jc w:val="center"/>
        </w:trPr>
        <w:tc>
          <w:tcPr>
            <w:tcW w:w="2477"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责任单位项目部</w:t>
            </w:r>
          </w:p>
        </w:tc>
        <w:tc>
          <w:tcPr>
            <w:tcW w:w="7258"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trHeight w:val="180" w:hRule="atLeast"/>
          <w:jc w:val="center"/>
        </w:trPr>
        <w:tc>
          <w:tcPr>
            <w:tcW w:w="1382"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整改通知书编号</w:t>
            </w:r>
          </w:p>
        </w:tc>
        <w:tc>
          <w:tcPr>
            <w:tcW w:w="8353"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处   罚    标　　准　　依　　据</w:t>
            </w:r>
          </w:p>
        </w:tc>
      </w:tr>
      <w:tr>
        <w:tblPrEx>
          <w:tblLayout w:type="fixed"/>
          <w:tblCellMar>
            <w:top w:w="0" w:type="dxa"/>
            <w:left w:w="0" w:type="dxa"/>
            <w:bottom w:w="0" w:type="dxa"/>
            <w:right w:w="0" w:type="dxa"/>
          </w:tblCellMar>
        </w:tblPrEx>
        <w:trPr>
          <w:trHeight w:val="333" w:hRule="atLeast"/>
          <w:jc w:val="center"/>
        </w:trPr>
        <w:tc>
          <w:tcPr>
            <w:tcW w:w="138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c>
          <w:tcPr>
            <w:tcW w:w="1967"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收取违约金数额（元）</w:t>
            </w:r>
          </w:p>
        </w:tc>
        <w:tc>
          <w:tcPr>
            <w:tcW w:w="638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未按要求整改内容描述</w:t>
            </w:r>
          </w:p>
        </w:tc>
      </w:tr>
      <w:tr>
        <w:tblPrEx>
          <w:tblLayout w:type="fixed"/>
          <w:tblCellMar>
            <w:top w:w="0" w:type="dxa"/>
            <w:left w:w="0" w:type="dxa"/>
            <w:bottom w:w="0" w:type="dxa"/>
            <w:right w:w="0" w:type="dxa"/>
          </w:tblCellMar>
        </w:tblPrEx>
        <w:trPr>
          <w:trHeight w:val="974" w:hRule="atLeast"/>
          <w:jc w:val="center"/>
        </w:trPr>
        <w:tc>
          <w:tcPr>
            <w:tcW w:w="13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c>
          <w:tcPr>
            <w:tcW w:w="1967"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c>
          <w:tcPr>
            <w:tcW w:w="638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trHeight w:val="980" w:hRule="atLeast"/>
          <w:jc w:val="center"/>
        </w:trPr>
        <w:tc>
          <w:tcPr>
            <w:tcW w:w="13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c>
          <w:tcPr>
            <w:tcW w:w="1967"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c>
          <w:tcPr>
            <w:tcW w:w="638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trHeight w:val="1025" w:hRule="atLeast"/>
          <w:jc w:val="center"/>
        </w:trPr>
        <w:tc>
          <w:tcPr>
            <w:tcW w:w="13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c>
          <w:tcPr>
            <w:tcW w:w="1967"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c>
          <w:tcPr>
            <w:tcW w:w="638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trHeight w:val="950" w:hRule="atLeast"/>
          <w:jc w:val="center"/>
        </w:trPr>
        <w:tc>
          <w:tcPr>
            <w:tcW w:w="13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c>
          <w:tcPr>
            <w:tcW w:w="1967"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c>
          <w:tcPr>
            <w:tcW w:w="638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trHeight w:val="1010" w:hRule="atLeast"/>
          <w:jc w:val="center"/>
        </w:trPr>
        <w:tc>
          <w:tcPr>
            <w:tcW w:w="13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c>
          <w:tcPr>
            <w:tcW w:w="1967"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c>
          <w:tcPr>
            <w:tcW w:w="638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trHeight w:val="1040" w:hRule="atLeast"/>
          <w:jc w:val="center"/>
        </w:trPr>
        <w:tc>
          <w:tcPr>
            <w:tcW w:w="13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c>
          <w:tcPr>
            <w:tcW w:w="1967"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c>
          <w:tcPr>
            <w:tcW w:w="638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trHeight w:val="630" w:hRule="atLeast"/>
          <w:jc w:val="center"/>
        </w:trPr>
        <w:tc>
          <w:tcPr>
            <w:tcW w:w="19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b/>
                <w:sz w:val="28"/>
                <w:szCs w:val="28"/>
              </w:rPr>
            </w:pPr>
            <w:r>
              <w:rPr>
                <w:rFonts w:hint="eastAsia" w:ascii="仿宋_GB2312" w:hAnsi="仿宋_GB2312" w:eastAsia="仿宋_GB2312" w:cs="仿宋_GB2312"/>
                <w:sz w:val="28"/>
                <w:szCs w:val="28"/>
              </w:rPr>
              <w:t>收取违约金合计（元）</w:t>
            </w:r>
          </w:p>
        </w:tc>
        <w:tc>
          <w:tcPr>
            <w:tcW w:w="144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c>
          <w:tcPr>
            <w:tcW w:w="31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检查人员</w:t>
            </w:r>
          </w:p>
        </w:tc>
        <w:tc>
          <w:tcPr>
            <w:tcW w:w="32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trHeight w:val="1834" w:hRule="atLeast"/>
          <w:jc w:val="center"/>
        </w:trPr>
        <w:tc>
          <w:tcPr>
            <w:tcW w:w="3245"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责任施工项目部（签章）</w:t>
            </w:r>
          </w:p>
        </w:tc>
        <w:tc>
          <w:tcPr>
            <w:tcW w:w="325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责任监理项目部（签章）</w:t>
            </w:r>
          </w:p>
          <w:p>
            <w:pPr>
              <w:adjustRightInd w:val="0"/>
              <w:snapToGrid w:val="0"/>
              <w:spacing w:line="560" w:lineRule="exact"/>
              <w:rPr>
                <w:rFonts w:ascii="仿宋_GB2312" w:hAnsi="仿宋_GB2312" w:eastAsia="仿宋_GB2312" w:cs="仿宋_GB2312"/>
                <w:sz w:val="28"/>
                <w:szCs w:val="28"/>
              </w:rPr>
            </w:pPr>
          </w:p>
          <w:p>
            <w:pPr>
              <w:adjustRightInd w:val="0"/>
              <w:snapToGrid w:val="0"/>
              <w:spacing w:line="560" w:lineRule="exact"/>
              <w:rPr>
                <w:rFonts w:ascii="仿宋_GB2312" w:hAnsi="仿宋_GB2312" w:eastAsia="仿宋_GB2312" w:cs="仿宋_GB2312"/>
                <w:sz w:val="28"/>
                <w:szCs w:val="28"/>
              </w:rPr>
            </w:pPr>
          </w:p>
          <w:p>
            <w:pPr>
              <w:adjustRightInd w:val="0"/>
              <w:snapToGrid w:val="0"/>
              <w:spacing w:line="560" w:lineRule="exact"/>
              <w:rPr>
                <w:rFonts w:ascii="仿宋_GB2312" w:hAnsi="仿宋_GB2312" w:eastAsia="仿宋_GB2312" w:cs="仿宋_GB2312"/>
                <w:sz w:val="28"/>
                <w:szCs w:val="28"/>
              </w:rPr>
            </w:pPr>
          </w:p>
          <w:p>
            <w:pPr>
              <w:adjustRightInd w:val="0"/>
              <w:snapToGrid w:val="0"/>
              <w:spacing w:line="560" w:lineRule="exact"/>
              <w:rPr>
                <w:rFonts w:ascii="仿宋_GB2312" w:hAnsi="仿宋_GB2312" w:eastAsia="仿宋_GB2312" w:cs="仿宋_GB2312"/>
                <w:sz w:val="28"/>
                <w:szCs w:val="28"/>
              </w:rPr>
            </w:pPr>
          </w:p>
        </w:tc>
        <w:tc>
          <w:tcPr>
            <w:tcW w:w="32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签发部门（签章）</w:t>
            </w:r>
          </w:p>
          <w:p>
            <w:pPr>
              <w:adjustRightInd w:val="0"/>
              <w:snapToGrid w:val="0"/>
              <w:spacing w:line="560" w:lineRule="exact"/>
              <w:rPr>
                <w:rFonts w:ascii="仿宋_GB2312" w:hAnsi="仿宋_GB2312" w:eastAsia="仿宋_GB2312" w:cs="仿宋_GB2312"/>
                <w:sz w:val="28"/>
                <w:szCs w:val="28"/>
              </w:rPr>
            </w:pPr>
          </w:p>
          <w:p>
            <w:pPr>
              <w:adjustRightInd w:val="0"/>
              <w:snapToGrid w:val="0"/>
              <w:spacing w:line="560" w:lineRule="exact"/>
              <w:rPr>
                <w:rFonts w:ascii="仿宋_GB2312" w:hAnsi="仿宋_GB2312" w:eastAsia="仿宋_GB2312" w:cs="仿宋_GB2312"/>
                <w:sz w:val="28"/>
                <w:szCs w:val="28"/>
              </w:rPr>
            </w:pP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二○   年   月    日</w:t>
            </w:r>
          </w:p>
        </w:tc>
      </w:tr>
    </w:tbl>
    <w:p>
      <w:pPr>
        <w:spacing w:line="36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sz w:val="28"/>
          <w:szCs w:val="28"/>
        </w:rPr>
        <w:t>注：1、本扣分通知单一式四份，动力部、签发人、责任施工项目部和责任监理项目部各持一份。2、表格中的签章是指签字或盖章。</w:t>
      </w:r>
    </w:p>
    <w:p>
      <w:pPr>
        <w:widowControl/>
        <w:spacing w:line="560" w:lineRule="exact"/>
        <w:jc w:val="left"/>
        <w:rPr>
          <w:rFonts w:ascii="仿宋_GB2312" w:hAnsi="仿宋_GB2312" w:eastAsia="仿宋_GB2312" w:cs="仿宋_GB2312"/>
          <w:b/>
          <w:bCs/>
          <w:sz w:val="28"/>
          <w:szCs w:val="28"/>
        </w:rPr>
        <w:sectPr>
          <w:footerReference r:id="rId7" w:type="default"/>
          <w:pgSz w:w="11907" w:h="16840"/>
          <w:pgMar w:top="1134" w:right="1134" w:bottom="1134" w:left="1134" w:header="851" w:footer="992" w:gutter="0"/>
          <w:pgNumType w:start="1"/>
          <w:cols w:space="720" w:num="1"/>
          <w:docGrid w:linePitch="312" w:charSpace="0"/>
        </w:sectPr>
      </w:pPr>
      <w:bookmarkStart w:id="19" w:name="_Hlk126741364"/>
    </w:p>
    <w:p>
      <w:pPr>
        <w:spacing w:line="560" w:lineRule="exact"/>
        <w:rPr>
          <w:rFonts w:ascii="黑体" w:hAnsi="黑体" w:eastAsia="黑体" w:cs="黑体"/>
          <w:sz w:val="32"/>
          <w:szCs w:val="32"/>
        </w:rPr>
      </w:pPr>
      <w:r>
        <w:rPr>
          <w:rFonts w:hint="eastAsia" w:ascii="黑体" w:hAnsi="黑体" w:eastAsia="黑体" w:cs="黑体"/>
          <w:sz w:val="32"/>
          <w:szCs w:val="32"/>
        </w:rPr>
        <w:t>附件4：</w:t>
      </w:r>
    </w:p>
    <w:p>
      <w:pPr>
        <w:adjustRightInd w:val="0"/>
        <w:snapToGrid w:val="0"/>
        <w:spacing w:line="56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保密承诺书</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杭州萧山国际机场有限公司（以下简称“贵司”）：</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鉴于我司与贵司拟订立《杭州萧山国际机场T1T2T3航站楼漏水点专项维修项目施工合同》（以下简称“主合同”），并建立业务合作伙伴关系。贵司在上述主合同履行过程中将向我司提供有关保密信息，且该保密信息属贵司合法所有。为对上述保密信息予以有效保护，我司特就保密事宜向贵司出具以下承诺：</w:t>
      </w:r>
    </w:p>
    <w:p>
      <w:pPr>
        <w:adjustRightInd w:val="0"/>
        <w:snapToGrid w:val="0"/>
        <w:spacing w:line="56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一、保密信息的范围</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1.1 本承诺书提及的保密信息，包括但不限于贵司向我司披露、我司从贵司获得或我司在履行主合同项下义务过程中知晓的与主合同项目有关或因主合同项目产生的任何贵司商业、营销、技术、运营数据或其他性质的资料、设计资料、机场安防信息、各设备材料技术参数、相互函电、合同内容，以及任何未公布的贵司项目交易信息、技术规格书、材料（设备）备选推荐品牌库信息等，无论以何种形式或载于何种载体，无论在披露时是否以口头、图像或以书面方式表明其具有保密性，都作为贵司的保密信息。</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1.2 贵司同意我司的保密承诺不适用于下述情形：（1）在贵司向我司根据本承诺书披露信息之前，在没有违反本承诺书的情况下，贵司的保密信息已经为普通大众可以获取的资料；或（2）我司能提供书面证据证明我司从贵司收到保密信息前已经从其他途径合法地获知该资料。</w:t>
      </w:r>
    </w:p>
    <w:p>
      <w:pPr>
        <w:adjustRightInd w:val="0"/>
        <w:snapToGrid w:val="0"/>
        <w:spacing w:line="56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二、保密承诺</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2.1对于贵司的保密信息，我司应严格予以保密，并采取所有保密措施和制度（包括但不仅限于我司为保护其自有商业保密信息所采用的措施和制度）保护该保密信息。</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2.2. 除法律规定或双方另有约定外，未经贵司书面同意，我司不得将贵司的保密信息泄露给任何第三方。</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2.3 除用于履行与贵司的主合同之外，我司在任何时候均不得利用贵司的保密信息，且不复制该等保密信息。我司应仅向为实现主合同目的而需要知悉贵司保密信息的我司员工、中介机构、第三方工作人员披露贵司保密信息并与该等人员签订保密协议，就贵司的保密信息，我司应要求该等人员承担不低于本承诺书所规定之程度的保密义务。</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2.4 一旦我司发现未经授权使用或披露贵司保密信息的情形或其他违约情形，我司应立即通知贵司。我司应与贵司合作，协助贵司重新取得对该等保密信息的控制，并防止他人进一步未经授权而使用该等保密信息。</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2.5 我司可以根据法院命令或政府机构的要求对贵司的保密信息做出披露，但须立即书面通知贵司该等命令或要求，以便贵司可以有机会对该等被要求的披露进行抗辩。在任何情况下，我司应保证该等被要求的披露仅限于在法院命令或政府机构所要求的限度和范围内。</w:t>
      </w:r>
    </w:p>
    <w:p>
      <w:pPr>
        <w:adjustRightInd w:val="0"/>
        <w:snapToGrid w:val="0"/>
        <w:spacing w:line="56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三、保密信息的返还及处理</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3.1 保密信息属贵司的专有财产。本承诺书并不产生明示的或暗示的权利转让或权利许可，包括但不限于发明、实用新型和设计专利、注册设计、版权、模板或商标以及前述权利的申请权。任何时候，只要收到贵司的书面要求，我司应立即归还全部与贵司保密信息相关的资料和文件，包含该等贵司保密信息资料的媒体及其任何或全部复制件或摘要。</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3.2 如果该保密信息资料属于不能归还的形式或已经复制或转录到其他资料或载体中，则我司应立即采取措施予以删除或销毁并向贵司提供已经完成删除或销毁的有效证明。</w:t>
      </w:r>
    </w:p>
    <w:p>
      <w:pPr>
        <w:adjustRightInd w:val="0"/>
        <w:snapToGrid w:val="0"/>
        <w:spacing w:line="56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四、保密期限</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我司的保密义务自我司获知贵司保密信息之日起至该等保密信息被合法公开之日止。</w:t>
      </w:r>
    </w:p>
    <w:p>
      <w:pPr>
        <w:adjustRightInd w:val="0"/>
        <w:snapToGrid w:val="0"/>
        <w:spacing w:line="56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五、违约责任</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我司如违反本承诺书，贵司有权要求我司立即停止侵权和进一步的对外泄露或滥用，并要求我司采取其他合理的补救措施，并有权终止贵司与我司双方正在执行的其他合同，而贵司无需对此承担任何责任。除此之外，贵司有权扣除【</w:t>
      </w:r>
      <w:r>
        <w:rPr>
          <w:rFonts w:hint="eastAsia" w:ascii="仿宋_GB2312" w:hAnsi="仿宋_GB2312" w:eastAsia="仿宋_GB2312" w:cs="仿宋_GB2312"/>
          <w:sz w:val="28"/>
          <w:szCs w:val="28"/>
        </w:rPr>
        <w:sym w:font="Wingdings" w:char="00A8"/>
      </w:r>
      <w:r>
        <w:rPr>
          <w:rFonts w:hint="eastAsia" w:ascii="仿宋_GB2312" w:hAnsi="仿宋_GB2312" w:eastAsia="仿宋_GB2312" w:cs="仿宋_GB2312"/>
          <w:sz w:val="28"/>
          <w:szCs w:val="28"/>
        </w:rPr>
        <w:t>已缴纳的履约保证金的10%；</w:t>
      </w:r>
      <w:r>
        <w:rPr>
          <w:rFonts w:hint="eastAsia" w:ascii="仿宋_GB2312" w:hAnsi="仿宋_GB2312" w:eastAsia="仿宋_GB2312" w:cs="仿宋_GB2312"/>
          <w:sz w:val="28"/>
          <w:szCs w:val="28"/>
        </w:rPr>
        <w:sym w:font="Wingdings" w:char="00FE"/>
      </w:r>
      <w:r>
        <w:rPr>
          <w:rFonts w:hint="eastAsia" w:ascii="仿宋_GB2312" w:hAnsi="仿宋_GB2312" w:eastAsia="仿宋_GB2312" w:cs="仿宋_GB2312"/>
          <w:sz w:val="28"/>
          <w:szCs w:val="28"/>
        </w:rPr>
        <w:t>合同金额1%】作为违反保密承诺的违约金。如该违约金不足以弥补贵司损失的（包括但不限于因我司违约行为造成的贵司利益减少，该等利益包括直接利益损失（指销量、利润减少及开发费用损失）与间接利益损失（指无形资产的价值减少）以及贵司为主张权利而支出的诉讼费、律师费、公证费、鉴定费、保全费、保全担保费、翻译费等费用），我司另行赔偿。贵司有权通过法律途径对我司的违约行为追究法律责任。</w:t>
      </w:r>
    </w:p>
    <w:p>
      <w:pPr>
        <w:adjustRightInd w:val="0"/>
        <w:snapToGrid w:val="0"/>
        <w:spacing w:line="56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六、争议解决</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由于本承诺书的履行或解释而产生的或与之有关的任何争议，如双方无法协商解决，应提交贵司住所地人民法院解决。</w:t>
      </w:r>
    </w:p>
    <w:p>
      <w:pPr>
        <w:adjustRightInd w:val="0"/>
        <w:snapToGrid w:val="0"/>
        <w:spacing w:line="56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七、其他</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本承诺书经我司法定代表人或授权代表签字（包含签章）并加盖我司公章之日起生效。</w:t>
      </w:r>
    </w:p>
    <w:p>
      <w:pPr>
        <w:adjustRightInd w:val="0"/>
        <w:snapToGrid w:val="0"/>
        <w:spacing w:line="560" w:lineRule="exact"/>
        <w:ind w:firstLine="560" w:firstLineChars="200"/>
        <w:jc w:val="right"/>
        <w:rPr>
          <w:rFonts w:ascii="仿宋_GB2312" w:hAnsi="仿宋_GB2312" w:eastAsia="仿宋_GB2312" w:cs="仿宋_GB2312"/>
          <w:sz w:val="28"/>
          <w:szCs w:val="28"/>
        </w:rPr>
      </w:pPr>
    </w:p>
    <w:p>
      <w:pPr>
        <w:adjustRightInd w:val="0"/>
        <w:snapToGrid w:val="0"/>
        <w:spacing w:line="560" w:lineRule="exact"/>
        <w:ind w:firstLine="560" w:firstLineChars="20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法定代表人(或授权代表)签字：【      】</w:t>
      </w:r>
    </w:p>
    <w:p>
      <w:pPr>
        <w:adjustRightInd w:val="0"/>
        <w:snapToGrid w:val="0"/>
        <w:spacing w:line="560" w:lineRule="exact"/>
        <w:ind w:firstLine="560" w:firstLineChars="20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盖章：【      】</w:t>
      </w:r>
    </w:p>
    <w:p>
      <w:pPr>
        <w:adjustRightInd w:val="0"/>
        <w:snapToGrid w:val="0"/>
        <w:spacing w:line="560" w:lineRule="exact"/>
        <w:ind w:firstLine="560" w:firstLineChars="20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日期：【      】</w:t>
      </w:r>
      <w:bookmarkEnd w:id="19"/>
    </w:p>
    <w:p>
      <w:pPr>
        <w:pageBreakBefore/>
        <w:spacing w:line="560" w:lineRule="exact"/>
        <w:rPr>
          <w:rFonts w:ascii="黑体" w:hAnsi="黑体" w:eastAsia="黑体" w:cs="黑体"/>
          <w:sz w:val="32"/>
          <w:szCs w:val="32"/>
        </w:rPr>
      </w:pPr>
      <w:r>
        <w:rPr>
          <w:rFonts w:hint="eastAsia" w:ascii="黑体" w:hAnsi="黑体" w:eastAsia="黑体" w:cs="黑体"/>
          <w:sz w:val="32"/>
          <w:szCs w:val="32"/>
        </w:rPr>
        <w:t>附件5：</w:t>
      </w:r>
    </w:p>
    <w:p>
      <w:pPr>
        <w:adjustRightInd w:val="0"/>
        <w:snapToGrid w:val="0"/>
        <w:spacing w:line="56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廉政承诺书</w:t>
      </w:r>
    </w:p>
    <w:p>
      <w:pPr>
        <w:adjustRightInd w:val="0"/>
        <w:snapToGrid w:val="0"/>
        <w:spacing w:line="56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杭州萧山国际机场有限公司（以下简称“贵司”）：</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鉴于：贵司与我司拟订立《杭州萧山国际机场T1T2T3航站楼漏水点专项维修项目施工合同》（以下简称“主合同”），并建立业务合作伙伴关系。为了更好地根据诚实信用原则履行双方订立的合同，维护各自内部正常的管理秩序，防止滋生各种腐败行为，促使双方工作人员廉洁从业，我司特就廉政事宜向贵司出具以下承诺：</w:t>
      </w:r>
    </w:p>
    <w:p>
      <w:pPr>
        <w:numPr>
          <w:ilvl w:val="0"/>
          <w:numId w:val="6"/>
        </w:numPr>
        <w:adjustRightInd w:val="0"/>
        <w:snapToGrid w:val="0"/>
        <w:spacing w:line="56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廉政承诺</w:t>
      </w:r>
    </w:p>
    <w:p>
      <w:pPr>
        <w:numPr>
          <w:ilvl w:val="1"/>
          <w:numId w:val="7"/>
        </w:num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我司应严格遵守国家的法律法规和党的纪律以及行业的廉政建设规定，并组织宣传，形成浓厚的反腐倡廉氛围。</w:t>
      </w:r>
    </w:p>
    <w:p>
      <w:pPr>
        <w:numPr>
          <w:ilvl w:val="1"/>
          <w:numId w:val="7"/>
        </w:num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如贵司发现我司及我司工作人员有违反廉政规定的行为时，有义务提醒并有权利制止，必要时有权向我司上级主管部门反映或向当地纪律监察部门举报（我司纪检监察部门举报电话：【/】）。</w:t>
      </w:r>
    </w:p>
    <w:p>
      <w:pPr>
        <w:numPr>
          <w:ilvl w:val="1"/>
          <w:numId w:val="7"/>
        </w:num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我司应建立健全廉政建设责任制，明确廉政建设管理部门，公布举报电话，严格监督并认真查处违法违纪行为。</w:t>
      </w:r>
    </w:p>
    <w:p>
      <w:pPr>
        <w:numPr>
          <w:ilvl w:val="1"/>
          <w:numId w:val="7"/>
        </w:num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我司应从国家和集体利益出发，共同促进各合作项目的顺利进行，自觉遵守贵司相关的规章制度和现场管理规定。</w:t>
      </w:r>
    </w:p>
    <w:p>
      <w:pPr>
        <w:numPr>
          <w:ilvl w:val="1"/>
          <w:numId w:val="7"/>
        </w:num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我司及其工作人员承诺：</w:t>
      </w:r>
    </w:p>
    <w:p>
      <w:pPr>
        <w:numPr>
          <w:ilvl w:val="2"/>
          <w:numId w:val="7"/>
        </w:num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不以任何形式，无论是主动或是被动的，向贵司有关人员或贵司聘请的包括但不限于项目设计、造价咨询、审计、评审专家、顾问等中间机构、第三方人员赠送无论有价或无价的礼金、礼物、酬金、代币券、回扣、中介费、咨询费、好处费等利益、收益或条件；或就上述内容作出任何暗示、许诺、允诺；不以任何形式接受此项目相关利益方（包括但不限于施工、响应交易、被评估、被检测、被审计、被审图等第三方）有关人员赠送无论有价或无价的礼金、礼物、酬金、或其它代币券、回扣、中介费、咨询费、好处费等利益、收益或条件；</w:t>
      </w:r>
    </w:p>
    <w:p>
      <w:pPr>
        <w:numPr>
          <w:ilvl w:val="2"/>
          <w:numId w:val="7"/>
        </w:num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不以任何名义为贵司有关人员报销应由贵司或个人支付的费用；不以任何形式接受此项目相关利益方（包括但不限于施工、响应交易、被评估、被检测、被审计、被图审等第三方）有关人员报销应由贵司或个人支付的费用；</w:t>
      </w:r>
    </w:p>
    <w:p>
      <w:pPr>
        <w:numPr>
          <w:ilvl w:val="2"/>
          <w:numId w:val="7"/>
        </w:num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不向贵司有关人员提供宴请、旅游、和健身娱乐等活动；不以任何形式接受此项目施相关利益方（包括但不限于施工、响应交易、被评估、被检测、被审计、被图审等第三方）有关人员提供宴请、旅游、和健身娱乐等活动；</w:t>
      </w:r>
    </w:p>
    <w:p>
      <w:pPr>
        <w:numPr>
          <w:ilvl w:val="2"/>
          <w:numId w:val="7"/>
        </w:num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不为贵司有关人员出国（境）、旅游等提供方便；不以任何形式接受此项目施工方相关利益方（包括但不限于施工、响应交易、被评估、被检测、被审计、被图审等第三方）有关人员提供的出国（境）、旅游等提供方便；</w:t>
      </w:r>
    </w:p>
    <w:p>
      <w:pPr>
        <w:numPr>
          <w:ilvl w:val="2"/>
          <w:numId w:val="7"/>
        </w:num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不为贵司有关人员个人装修住房、婚丧嫁娶、配偶子女工作安排等提供好处或便利条件；不以任何形式接受此项目相关利益方（包括但不限于施工、响应交易、被评估、被检测、被审计、被图审等第三方）有关人员提供个人装修住房、婚丧嫁娶、配偶子女工作安排等提供好处或便利条件。</w:t>
      </w:r>
    </w:p>
    <w:p>
      <w:pPr>
        <w:numPr>
          <w:ilvl w:val="0"/>
          <w:numId w:val="6"/>
        </w:numPr>
        <w:adjustRightInd w:val="0"/>
        <w:snapToGrid w:val="0"/>
        <w:spacing w:line="56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违约责任</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2.1 我司工作人员违反上述约定条款的，我司应按党、政管理权限和党纪、政纪的处罚规定，给予处理；情节严重的，报请司法机关处理。</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2.2 如我司违反本承诺书项下廉洁自律承诺，贵司有权：</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2.2.1 立即取消我司响应交易、成交或在建项目的实施资格；</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2.2.2 扣除我司在主合同项下【</w:t>
      </w:r>
      <w:r>
        <w:rPr>
          <w:rFonts w:hint="eastAsia" w:ascii="仿宋_GB2312" w:hAnsi="仿宋_GB2312" w:eastAsia="仿宋_GB2312" w:cs="仿宋_GB2312"/>
          <w:sz w:val="28"/>
          <w:szCs w:val="28"/>
        </w:rPr>
        <w:sym w:font="Wingdings" w:char="00A8"/>
      </w:r>
      <w:r>
        <w:rPr>
          <w:rFonts w:hint="eastAsia" w:ascii="仿宋_GB2312" w:hAnsi="仿宋_GB2312" w:eastAsia="仿宋_GB2312" w:cs="仿宋_GB2312"/>
          <w:sz w:val="28"/>
          <w:szCs w:val="28"/>
        </w:rPr>
        <w:t>已缴纳的履约保证金的10%；</w:t>
      </w:r>
      <w:r>
        <w:rPr>
          <w:rFonts w:hint="eastAsia" w:ascii="仿宋_GB2312" w:hAnsi="仿宋_GB2312" w:eastAsia="仿宋_GB2312" w:cs="仿宋_GB2312"/>
          <w:sz w:val="28"/>
          <w:szCs w:val="28"/>
        </w:rPr>
        <w:sym w:font="Wingdings" w:char="00FE"/>
      </w:r>
      <w:r>
        <w:rPr>
          <w:rFonts w:hint="eastAsia" w:ascii="仿宋_GB2312" w:hAnsi="仿宋_GB2312" w:eastAsia="仿宋_GB2312" w:cs="仿宋_GB2312"/>
          <w:sz w:val="28"/>
          <w:szCs w:val="28"/>
        </w:rPr>
        <w:t>合同金额1%】作为违反廉洁自律承诺的违约金。如该违约金不足以弥补贵司实际损失（包括但不限于贵司因此遭受的直接经济损失以及贵司为主张权利而支出的诉讼费、律师费、公证费、鉴定费、保全费、保全担保费、翻译费等费用）的，我司仍将承担实际损失赔偿责任；</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2.2.3 拒绝我司在一定时期内参与贵司其他项目或经营活动的响应交易、服务。</w:t>
      </w:r>
    </w:p>
    <w:p>
      <w:pPr>
        <w:numPr>
          <w:ilvl w:val="0"/>
          <w:numId w:val="6"/>
        </w:numPr>
        <w:adjustRightInd w:val="0"/>
        <w:snapToGrid w:val="0"/>
        <w:spacing w:line="56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争议解决</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由于本承诺书的履行或解释而产生的或与之有关的任何争议，如双方无法协商解决，应提交贵司住所地人民法院解决。</w:t>
      </w:r>
    </w:p>
    <w:p>
      <w:pPr>
        <w:numPr>
          <w:ilvl w:val="0"/>
          <w:numId w:val="6"/>
        </w:numPr>
        <w:adjustRightInd w:val="0"/>
        <w:snapToGrid w:val="0"/>
        <w:spacing w:line="56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其他</w:t>
      </w:r>
    </w:p>
    <w:p>
      <w:pPr>
        <w:tabs>
          <w:tab w:val="right" w:pos="8306"/>
        </w:tabs>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本承诺书经我司法定代表人或授权代表签字（包含签章）并加盖我司公章之日起生效。</w:t>
      </w:r>
    </w:p>
    <w:p>
      <w:pPr>
        <w:tabs>
          <w:tab w:val="right" w:pos="8306"/>
        </w:tabs>
        <w:adjustRightInd w:val="0"/>
        <w:snapToGrid w:val="0"/>
        <w:spacing w:line="560" w:lineRule="exact"/>
        <w:ind w:firstLine="560" w:firstLineChars="200"/>
        <w:rPr>
          <w:rFonts w:ascii="仿宋_GB2312" w:hAnsi="仿宋_GB2312" w:eastAsia="仿宋_GB2312" w:cs="仿宋_GB2312"/>
          <w:sz w:val="28"/>
          <w:szCs w:val="28"/>
        </w:rPr>
      </w:pPr>
    </w:p>
    <w:p>
      <w:pPr>
        <w:tabs>
          <w:tab w:val="right" w:pos="8306"/>
        </w:tabs>
        <w:adjustRightInd w:val="0"/>
        <w:snapToGrid w:val="0"/>
        <w:spacing w:line="560" w:lineRule="exact"/>
        <w:ind w:firstLine="560" w:firstLineChars="20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法定代表人(或授权代表)签字：【      】</w:t>
      </w:r>
    </w:p>
    <w:p>
      <w:pPr>
        <w:tabs>
          <w:tab w:val="right" w:pos="8306"/>
        </w:tabs>
        <w:adjustRightInd w:val="0"/>
        <w:snapToGrid w:val="0"/>
        <w:spacing w:line="560" w:lineRule="exact"/>
        <w:ind w:firstLine="560" w:firstLineChars="20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盖章：【      】</w:t>
      </w:r>
    </w:p>
    <w:p>
      <w:pPr>
        <w:tabs>
          <w:tab w:val="right" w:pos="8306"/>
        </w:tabs>
        <w:adjustRightInd w:val="0"/>
        <w:snapToGrid w:val="0"/>
        <w:spacing w:line="560" w:lineRule="exact"/>
        <w:ind w:firstLine="560" w:firstLineChars="20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日期：【      】</w:t>
      </w:r>
    </w:p>
    <w:p>
      <w:pPr>
        <w:spacing w:line="560" w:lineRule="exact"/>
        <w:ind w:firstLine="560" w:firstLineChars="200"/>
        <w:rPr>
          <w:rFonts w:ascii="仿宋_GB2312" w:hAnsi="仿宋_GB2312" w:eastAsia="仿宋_GB2312" w:cs="仿宋_GB2312"/>
          <w:sz w:val="28"/>
          <w:szCs w:val="28"/>
        </w:rPr>
      </w:pPr>
    </w:p>
    <w:p>
      <w:pPr>
        <w:spacing w:line="560" w:lineRule="exact"/>
        <w:rPr>
          <w:rFonts w:ascii="宋体" w:hAnsi="宋体" w:eastAsia="宋体" w:cs="宋体"/>
          <w:color w:val="000000"/>
          <w:sz w:val="22"/>
        </w:rPr>
      </w:pPr>
    </w:p>
    <w:p>
      <w:pPr>
        <w:spacing w:line="560" w:lineRule="exact"/>
        <w:rPr>
          <w:rFonts w:ascii="宋体" w:hAnsi="宋体" w:eastAsia="宋体" w:cs="宋体"/>
          <w:color w:val="000000"/>
          <w:sz w:val="22"/>
        </w:rPr>
      </w:pPr>
    </w:p>
    <w:p>
      <w:pPr>
        <w:pStyle w:val="9"/>
        <w:pageBreakBefore/>
        <w:spacing w:before="0" w:after="0" w:line="560" w:lineRule="exact"/>
      </w:pPr>
      <w:bookmarkStart w:id="20" w:name="_Toc139785992"/>
      <w:r>
        <w:rPr>
          <w:rFonts w:hint="eastAsia"/>
        </w:rPr>
        <w:t>第四章 工程量清单</w:t>
      </w:r>
      <w:bookmarkEnd w:id="17"/>
      <w:bookmarkEnd w:id="20"/>
    </w:p>
    <w:p/>
    <w:tbl>
      <w:tblPr>
        <w:tblStyle w:val="12"/>
        <w:tblW w:w="9855" w:type="dxa"/>
        <w:jc w:val="center"/>
        <w:tblInd w:w="0" w:type="dxa"/>
        <w:tblLayout w:type="fixed"/>
        <w:tblCellMar>
          <w:top w:w="0" w:type="dxa"/>
          <w:left w:w="108" w:type="dxa"/>
          <w:bottom w:w="0" w:type="dxa"/>
          <w:right w:w="108" w:type="dxa"/>
        </w:tblCellMar>
      </w:tblPr>
      <w:tblGrid>
        <w:gridCol w:w="573"/>
        <w:gridCol w:w="1022"/>
        <w:gridCol w:w="3354"/>
        <w:gridCol w:w="671"/>
        <w:gridCol w:w="1059"/>
        <w:gridCol w:w="1217"/>
        <w:gridCol w:w="943"/>
        <w:gridCol w:w="1016"/>
      </w:tblGrid>
      <w:tr>
        <w:tblPrEx>
          <w:tblLayout w:type="fixed"/>
          <w:tblCellMar>
            <w:top w:w="0" w:type="dxa"/>
            <w:left w:w="108" w:type="dxa"/>
            <w:bottom w:w="0" w:type="dxa"/>
            <w:right w:w="108" w:type="dxa"/>
          </w:tblCellMar>
        </w:tblPrEx>
        <w:trPr>
          <w:trHeight w:val="1035" w:hRule="atLeast"/>
          <w:jc w:val="center"/>
        </w:trPr>
        <w:tc>
          <w:tcPr>
            <w:tcW w:w="9855" w:type="dxa"/>
            <w:gridSpan w:val="8"/>
            <w:tcBorders>
              <w:top w:val="nil"/>
              <w:left w:val="nil"/>
              <w:bottom w:val="nil"/>
              <w:right w:val="nil"/>
            </w:tcBorders>
            <w:shd w:val="clear" w:color="000000" w:fill="FFFFFF"/>
            <w:vAlign w:val="center"/>
          </w:tcPr>
          <w:p>
            <w:pPr>
              <w:widowControl/>
              <w:jc w:val="center"/>
              <w:rPr>
                <w:rFonts w:ascii="宋体" w:hAnsi="宋体" w:eastAsia="宋体" w:cs="Arial"/>
                <w:b/>
                <w:bCs/>
                <w:color w:val="000000"/>
                <w:kern w:val="0"/>
                <w:sz w:val="40"/>
                <w:szCs w:val="40"/>
              </w:rPr>
            </w:pPr>
            <w:r>
              <w:rPr>
                <w:rFonts w:hint="eastAsia" w:ascii="宋体" w:hAnsi="宋体" w:eastAsia="宋体" w:cs="Arial"/>
                <w:b/>
                <w:bCs/>
                <w:color w:val="000000"/>
                <w:kern w:val="0"/>
                <w:sz w:val="40"/>
                <w:szCs w:val="40"/>
              </w:rPr>
              <w:t>T1T2T3航站楼漏水点专项维修项目参考工程量清单</w:t>
            </w:r>
          </w:p>
        </w:tc>
      </w:tr>
      <w:tr>
        <w:tblPrEx>
          <w:tblLayout w:type="fixed"/>
          <w:tblCellMar>
            <w:top w:w="0" w:type="dxa"/>
            <w:left w:w="108" w:type="dxa"/>
            <w:bottom w:w="0" w:type="dxa"/>
            <w:right w:w="108" w:type="dxa"/>
          </w:tblCellMar>
        </w:tblPrEx>
        <w:trPr>
          <w:trHeight w:val="630" w:hRule="atLeast"/>
          <w:jc w:val="center"/>
        </w:trPr>
        <w:tc>
          <w:tcPr>
            <w:tcW w:w="7896" w:type="dxa"/>
            <w:gridSpan w:val="6"/>
            <w:tcBorders>
              <w:top w:val="nil"/>
              <w:left w:val="nil"/>
              <w:bottom w:val="nil"/>
              <w:right w:val="nil"/>
            </w:tcBorders>
            <w:shd w:val="clear" w:color="000000" w:fill="FFFFFF"/>
            <w:vAlign w:val="bottom"/>
          </w:tcPr>
          <w:p>
            <w:pPr>
              <w:widowControl/>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959" w:type="dxa"/>
            <w:gridSpan w:val="2"/>
            <w:tcBorders>
              <w:top w:val="nil"/>
              <w:left w:val="nil"/>
              <w:bottom w:val="nil"/>
              <w:right w:val="nil"/>
            </w:tcBorders>
            <w:shd w:val="clear" w:color="000000" w:fill="FFFFFF"/>
            <w:vAlign w:val="bottom"/>
          </w:tcPr>
          <w:p>
            <w:pPr>
              <w:widowControl/>
              <w:jc w:val="center"/>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第1页 共1页</w:t>
            </w:r>
          </w:p>
        </w:tc>
      </w:tr>
      <w:tr>
        <w:tblPrEx>
          <w:tblLayout w:type="fixed"/>
          <w:tblCellMar>
            <w:top w:w="0" w:type="dxa"/>
            <w:left w:w="108" w:type="dxa"/>
            <w:bottom w:w="0" w:type="dxa"/>
            <w:right w:w="108" w:type="dxa"/>
          </w:tblCellMar>
        </w:tblPrEx>
        <w:trPr>
          <w:trHeight w:val="435" w:hRule="atLeast"/>
          <w:jc w:val="center"/>
        </w:trPr>
        <w:tc>
          <w:tcPr>
            <w:tcW w:w="573" w:type="dxa"/>
            <w:tcBorders>
              <w:top w:val="single" w:color="000000" w:sz="4" w:space="0"/>
              <w:left w:val="single" w:color="000000" w:sz="4" w:space="0"/>
              <w:bottom w:val="nil"/>
              <w:right w:val="nil"/>
            </w:tcBorders>
            <w:shd w:val="clear" w:color="000000" w:fill="FFFFFF"/>
            <w:vAlign w:val="center"/>
          </w:tcPr>
          <w:p>
            <w:pPr>
              <w:widowControl/>
              <w:jc w:val="center"/>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序号</w:t>
            </w:r>
          </w:p>
        </w:tc>
        <w:tc>
          <w:tcPr>
            <w:tcW w:w="1022" w:type="dxa"/>
            <w:tcBorders>
              <w:top w:val="single" w:color="000000" w:sz="4" w:space="0"/>
              <w:left w:val="single" w:color="000000" w:sz="4" w:space="0"/>
              <w:bottom w:val="nil"/>
              <w:right w:val="nil"/>
            </w:tcBorders>
            <w:shd w:val="clear" w:color="000000" w:fill="FFFFFF"/>
            <w:vAlign w:val="center"/>
          </w:tcPr>
          <w:p>
            <w:pPr>
              <w:widowControl/>
              <w:jc w:val="center"/>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定额编号</w:t>
            </w:r>
          </w:p>
        </w:tc>
        <w:tc>
          <w:tcPr>
            <w:tcW w:w="3354" w:type="dxa"/>
            <w:tcBorders>
              <w:top w:val="single" w:color="000000" w:sz="4" w:space="0"/>
              <w:left w:val="single" w:color="000000" w:sz="4" w:space="0"/>
              <w:bottom w:val="nil"/>
              <w:right w:val="nil"/>
            </w:tcBorders>
            <w:shd w:val="clear" w:color="000000" w:fill="FFFFFF"/>
            <w:vAlign w:val="center"/>
          </w:tcPr>
          <w:p>
            <w:pPr>
              <w:widowControl/>
              <w:jc w:val="center"/>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名称及说明</w:t>
            </w:r>
          </w:p>
        </w:tc>
        <w:tc>
          <w:tcPr>
            <w:tcW w:w="671" w:type="dxa"/>
            <w:tcBorders>
              <w:top w:val="single" w:color="000000" w:sz="4" w:space="0"/>
              <w:left w:val="single" w:color="000000" w:sz="4" w:space="0"/>
              <w:bottom w:val="nil"/>
              <w:right w:val="nil"/>
            </w:tcBorders>
            <w:shd w:val="clear" w:color="000000" w:fill="FFFFFF"/>
            <w:vAlign w:val="center"/>
          </w:tcPr>
          <w:p>
            <w:pPr>
              <w:widowControl/>
              <w:jc w:val="center"/>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单位</w:t>
            </w:r>
          </w:p>
        </w:tc>
        <w:tc>
          <w:tcPr>
            <w:tcW w:w="1059" w:type="dxa"/>
            <w:tcBorders>
              <w:top w:val="single" w:color="000000" w:sz="4" w:space="0"/>
              <w:left w:val="single" w:color="000000" w:sz="4" w:space="0"/>
              <w:bottom w:val="nil"/>
              <w:right w:val="nil"/>
            </w:tcBorders>
            <w:shd w:val="clear" w:color="000000" w:fill="FFFFFF"/>
            <w:vAlign w:val="center"/>
          </w:tcPr>
          <w:p>
            <w:pPr>
              <w:widowControl/>
              <w:jc w:val="center"/>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工程数量</w:t>
            </w:r>
          </w:p>
        </w:tc>
        <w:tc>
          <w:tcPr>
            <w:tcW w:w="1217" w:type="dxa"/>
            <w:tcBorders>
              <w:top w:val="single" w:color="000000" w:sz="4" w:space="0"/>
              <w:left w:val="single" w:color="000000" w:sz="4" w:space="0"/>
              <w:bottom w:val="nil"/>
              <w:right w:val="nil"/>
            </w:tcBorders>
            <w:shd w:val="clear" w:color="000000" w:fill="FFFFFF"/>
            <w:vAlign w:val="center"/>
          </w:tcPr>
          <w:p>
            <w:pPr>
              <w:widowControl/>
              <w:jc w:val="center"/>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综合单价(元)</w:t>
            </w:r>
          </w:p>
        </w:tc>
        <w:tc>
          <w:tcPr>
            <w:tcW w:w="943" w:type="dxa"/>
            <w:tcBorders>
              <w:top w:val="single" w:color="000000" w:sz="4" w:space="0"/>
              <w:left w:val="single" w:color="000000" w:sz="4" w:space="0"/>
              <w:bottom w:val="nil"/>
              <w:right w:val="nil"/>
            </w:tcBorders>
            <w:shd w:val="clear" w:color="000000" w:fill="FFFFFF"/>
            <w:vAlign w:val="center"/>
          </w:tcPr>
          <w:p>
            <w:pPr>
              <w:widowControl/>
              <w:jc w:val="center"/>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合价(元)</w:t>
            </w:r>
          </w:p>
        </w:tc>
        <w:tc>
          <w:tcPr>
            <w:tcW w:w="10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20"/>
                <w:szCs w:val="20"/>
              </w:rPr>
            </w:pPr>
            <w:r>
              <w:rPr>
                <w:rFonts w:hint="eastAsia" w:ascii="宋体" w:hAnsi="宋体" w:eastAsia="宋体" w:cs="Arial"/>
                <w:kern w:val="0"/>
                <w:sz w:val="20"/>
                <w:szCs w:val="20"/>
              </w:rPr>
              <w:t>备注</w:t>
            </w:r>
          </w:p>
        </w:tc>
      </w:tr>
      <w:tr>
        <w:tblPrEx>
          <w:tblLayout w:type="fixed"/>
          <w:tblCellMar>
            <w:top w:w="0" w:type="dxa"/>
            <w:left w:w="108" w:type="dxa"/>
            <w:bottom w:w="0" w:type="dxa"/>
            <w:right w:w="108" w:type="dxa"/>
          </w:tblCellMar>
        </w:tblPrEx>
        <w:trPr>
          <w:trHeight w:val="630" w:hRule="atLeast"/>
          <w:jc w:val="center"/>
        </w:trPr>
        <w:tc>
          <w:tcPr>
            <w:tcW w:w="573" w:type="dxa"/>
            <w:tcBorders>
              <w:top w:val="single" w:color="000000" w:sz="4" w:space="0"/>
              <w:left w:val="single" w:color="000000" w:sz="4" w:space="0"/>
              <w:bottom w:val="nil"/>
              <w:right w:val="nil"/>
            </w:tcBorders>
            <w:shd w:val="clear" w:color="000000" w:fill="FFFFFF"/>
            <w:vAlign w:val="center"/>
          </w:tcPr>
          <w:p>
            <w:pPr>
              <w:widowControl/>
              <w:jc w:val="center"/>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1</w:t>
            </w:r>
          </w:p>
        </w:tc>
        <w:tc>
          <w:tcPr>
            <w:tcW w:w="1022" w:type="dxa"/>
            <w:tcBorders>
              <w:top w:val="single" w:color="000000" w:sz="4" w:space="0"/>
              <w:left w:val="single" w:color="000000" w:sz="4" w:space="0"/>
              <w:bottom w:val="nil"/>
              <w:right w:val="nil"/>
            </w:tcBorders>
            <w:shd w:val="clear" w:color="000000" w:fill="FFFFFF"/>
            <w:vAlign w:val="center"/>
          </w:tcPr>
          <w:p>
            <w:pPr>
              <w:widowControl/>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354" w:type="dxa"/>
            <w:tcBorders>
              <w:top w:val="single" w:color="000000" w:sz="4" w:space="0"/>
              <w:left w:val="single" w:color="000000" w:sz="4" w:space="0"/>
              <w:bottom w:val="nil"/>
              <w:right w:val="nil"/>
            </w:tcBorders>
            <w:shd w:val="clear" w:color="000000" w:fill="FFFFFF"/>
            <w:vAlign w:val="center"/>
          </w:tcPr>
          <w:p>
            <w:pPr>
              <w:widowControl/>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400*400翻边80MM厚1MM304不锈钢接水盘制作安装（含吊杆及配件等）</w:t>
            </w:r>
          </w:p>
        </w:tc>
        <w:tc>
          <w:tcPr>
            <w:tcW w:w="671" w:type="dxa"/>
            <w:tcBorders>
              <w:top w:val="single" w:color="000000" w:sz="4" w:space="0"/>
              <w:left w:val="single" w:color="000000" w:sz="4" w:space="0"/>
              <w:bottom w:val="nil"/>
              <w:right w:val="nil"/>
            </w:tcBorders>
            <w:shd w:val="clear" w:color="000000" w:fill="FFFFFF"/>
            <w:vAlign w:val="center"/>
          </w:tcPr>
          <w:p>
            <w:pPr>
              <w:widowControl/>
              <w:jc w:val="center"/>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只</w:t>
            </w:r>
          </w:p>
        </w:tc>
        <w:tc>
          <w:tcPr>
            <w:tcW w:w="1059" w:type="dxa"/>
            <w:tcBorders>
              <w:top w:val="single" w:color="000000" w:sz="4" w:space="0"/>
              <w:left w:val="single" w:color="000000" w:sz="4" w:space="0"/>
              <w:bottom w:val="nil"/>
              <w:right w:val="nil"/>
            </w:tcBorders>
            <w:shd w:val="clear" w:color="000000" w:fill="FFFFFF"/>
            <w:vAlign w:val="center"/>
          </w:tcPr>
          <w:p>
            <w:pPr>
              <w:widowControl/>
              <w:jc w:val="righ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10.00</w:t>
            </w:r>
            <w:r>
              <w:rPr>
                <w:rFonts w:hint="eastAsia" w:ascii="宋体" w:hAnsi="宋体" w:eastAsia="宋体" w:cs="Arial"/>
                <w:color w:val="000000"/>
                <w:kern w:val="0"/>
                <w:sz w:val="18"/>
                <w:szCs w:val="18"/>
                <w:lang w:val="en-US" w:eastAsia="zh-CN"/>
              </w:rPr>
              <w:t>0</w:t>
            </w:r>
            <w:r>
              <w:rPr>
                <w:rFonts w:hint="eastAsia" w:ascii="宋体" w:hAnsi="宋体" w:eastAsia="宋体" w:cs="Arial"/>
                <w:color w:val="000000"/>
                <w:kern w:val="0"/>
                <w:sz w:val="18"/>
                <w:szCs w:val="18"/>
              </w:rPr>
              <w:t xml:space="preserve"> </w:t>
            </w:r>
          </w:p>
        </w:tc>
        <w:tc>
          <w:tcPr>
            <w:tcW w:w="1217" w:type="dxa"/>
            <w:tcBorders>
              <w:top w:val="single" w:color="000000" w:sz="4" w:space="0"/>
              <w:left w:val="single" w:color="000000" w:sz="4" w:space="0"/>
              <w:bottom w:val="nil"/>
              <w:right w:val="nil"/>
            </w:tcBorders>
            <w:shd w:val="clear" w:color="000000" w:fill="FFFFFF"/>
            <w:vAlign w:val="center"/>
          </w:tcPr>
          <w:p>
            <w:pPr>
              <w:widowControl/>
              <w:jc w:val="righ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43" w:type="dxa"/>
            <w:tcBorders>
              <w:top w:val="single" w:color="000000" w:sz="4" w:space="0"/>
              <w:left w:val="single" w:color="000000" w:sz="4" w:space="0"/>
              <w:bottom w:val="nil"/>
              <w:right w:val="nil"/>
            </w:tcBorders>
            <w:shd w:val="clear" w:color="000000" w:fill="FFFFFF"/>
            <w:vAlign w:val="center"/>
          </w:tcPr>
          <w:p>
            <w:pPr>
              <w:widowControl/>
              <w:jc w:val="righ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Arial" w:hAnsi="Arial" w:eastAsia="宋体" w:cs="Arial"/>
                <w:kern w:val="0"/>
                <w:sz w:val="20"/>
                <w:szCs w:val="20"/>
              </w:rPr>
            </w:pPr>
            <w:r>
              <w:rPr>
                <w:rFonts w:ascii="Arial" w:hAnsi="Arial" w:eastAsia="宋体" w:cs="Arial"/>
                <w:kern w:val="0"/>
                <w:sz w:val="20"/>
                <w:szCs w:val="20"/>
              </w:rPr>
              <w:t>　</w:t>
            </w:r>
          </w:p>
        </w:tc>
      </w:tr>
      <w:tr>
        <w:tblPrEx>
          <w:tblLayout w:type="fixed"/>
          <w:tblCellMar>
            <w:top w:w="0" w:type="dxa"/>
            <w:left w:w="108" w:type="dxa"/>
            <w:bottom w:w="0" w:type="dxa"/>
            <w:right w:w="108" w:type="dxa"/>
          </w:tblCellMar>
        </w:tblPrEx>
        <w:trPr>
          <w:trHeight w:val="630" w:hRule="atLeast"/>
          <w:jc w:val="center"/>
        </w:trPr>
        <w:tc>
          <w:tcPr>
            <w:tcW w:w="573"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w:t>
            </w:r>
          </w:p>
        </w:tc>
        <w:tc>
          <w:tcPr>
            <w:tcW w:w="1022" w:type="dxa"/>
            <w:tcBorders>
              <w:top w:val="single" w:color="000000" w:sz="4" w:space="0"/>
              <w:left w:val="single" w:color="000000" w:sz="4" w:space="0"/>
              <w:bottom w:val="nil"/>
              <w:right w:val="nil"/>
            </w:tcBorders>
            <w:shd w:val="clear" w:color="000000" w:fill="FFFFFF"/>
            <w:vAlign w:val="center"/>
          </w:tcPr>
          <w:p>
            <w:pPr>
              <w:widowControl/>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354" w:type="dxa"/>
            <w:tcBorders>
              <w:top w:val="single" w:color="000000" w:sz="4" w:space="0"/>
              <w:left w:val="single" w:color="000000" w:sz="4" w:space="0"/>
              <w:bottom w:val="nil"/>
              <w:right w:val="nil"/>
            </w:tcBorders>
            <w:shd w:val="clear" w:color="000000" w:fill="FFFFFF"/>
            <w:vAlign w:val="center"/>
          </w:tcPr>
          <w:p>
            <w:pPr>
              <w:widowControl/>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PVC排水管（粘接） 公称直径 （mm以内）32</w:t>
            </w:r>
          </w:p>
        </w:tc>
        <w:tc>
          <w:tcPr>
            <w:tcW w:w="671" w:type="dxa"/>
            <w:tcBorders>
              <w:top w:val="single" w:color="000000" w:sz="4" w:space="0"/>
              <w:left w:val="single" w:color="000000" w:sz="4" w:space="0"/>
              <w:bottom w:val="nil"/>
              <w:right w:val="nil"/>
            </w:tcBorders>
            <w:shd w:val="clear" w:color="000000" w:fill="FFFFFF"/>
            <w:vAlign w:val="center"/>
          </w:tcPr>
          <w:p>
            <w:pPr>
              <w:widowControl/>
              <w:jc w:val="center"/>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m</w:t>
            </w:r>
          </w:p>
        </w:tc>
        <w:tc>
          <w:tcPr>
            <w:tcW w:w="1059" w:type="dxa"/>
            <w:tcBorders>
              <w:top w:val="single" w:color="000000" w:sz="4" w:space="0"/>
              <w:left w:val="single" w:color="000000" w:sz="4" w:space="0"/>
              <w:bottom w:val="nil"/>
              <w:right w:val="nil"/>
            </w:tcBorders>
            <w:shd w:val="clear" w:color="000000" w:fill="FFFFFF"/>
            <w:vAlign w:val="center"/>
          </w:tcPr>
          <w:p>
            <w:pPr>
              <w:widowControl/>
              <w:jc w:val="righ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100.00</w:t>
            </w:r>
            <w:r>
              <w:rPr>
                <w:rFonts w:hint="eastAsia" w:ascii="宋体" w:hAnsi="宋体" w:eastAsia="宋体" w:cs="Arial"/>
                <w:color w:val="000000"/>
                <w:kern w:val="0"/>
                <w:sz w:val="18"/>
                <w:szCs w:val="18"/>
                <w:lang w:val="en-US" w:eastAsia="zh-CN"/>
              </w:rPr>
              <w:t>0</w:t>
            </w:r>
            <w:r>
              <w:rPr>
                <w:rFonts w:hint="eastAsia" w:ascii="宋体" w:hAnsi="宋体" w:eastAsia="宋体" w:cs="Arial"/>
                <w:color w:val="000000"/>
                <w:kern w:val="0"/>
                <w:sz w:val="18"/>
                <w:szCs w:val="18"/>
              </w:rPr>
              <w:t xml:space="preserve"> </w:t>
            </w:r>
          </w:p>
        </w:tc>
        <w:tc>
          <w:tcPr>
            <w:tcW w:w="1217" w:type="dxa"/>
            <w:tcBorders>
              <w:top w:val="single" w:color="000000" w:sz="4" w:space="0"/>
              <w:left w:val="single" w:color="000000" w:sz="4" w:space="0"/>
              <w:bottom w:val="nil"/>
              <w:right w:val="nil"/>
            </w:tcBorders>
            <w:shd w:val="clear" w:color="000000" w:fill="FFFFFF"/>
            <w:vAlign w:val="center"/>
          </w:tcPr>
          <w:p>
            <w:pPr>
              <w:widowControl/>
              <w:jc w:val="righ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43" w:type="dxa"/>
            <w:tcBorders>
              <w:top w:val="single" w:color="000000" w:sz="4" w:space="0"/>
              <w:left w:val="single" w:color="000000" w:sz="4" w:space="0"/>
              <w:bottom w:val="nil"/>
              <w:right w:val="nil"/>
            </w:tcBorders>
            <w:shd w:val="clear" w:color="000000" w:fill="FFFFFF"/>
            <w:vAlign w:val="center"/>
          </w:tcPr>
          <w:p>
            <w:pPr>
              <w:widowControl/>
              <w:jc w:val="righ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Arial" w:hAnsi="Arial" w:eastAsia="宋体" w:cs="Arial"/>
                <w:kern w:val="0"/>
                <w:sz w:val="20"/>
                <w:szCs w:val="20"/>
              </w:rPr>
            </w:pPr>
            <w:r>
              <w:rPr>
                <w:rFonts w:ascii="Arial" w:hAnsi="Arial" w:eastAsia="宋体" w:cs="Arial"/>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73"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3</w:t>
            </w:r>
          </w:p>
        </w:tc>
        <w:tc>
          <w:tcPr>
            <w:tcW w:w="1022" w:type="dxa"/>
            <w:tcBorders>
              <w:top w:val="single" w:color="000000" w:sz="4" w:space="0"/>
              <w:left w:val="single" w:color="000000" w:sz="4" w:space="0"/>
              <w:bottom w:val="nil"/>
              <w:right w:val="nil"/>
            </w:tcBorders>
            <w:shd w:val="clear" w:color="000000" w:fill="FFFFFF"/>
            <w:vAlign w:val="center"/>
          </w:tcPr>
          <w:p>
            <w:pPr>
              <w:widowControl/>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354" w:type="dxa"/>
            <w:tcBorders>
              <w:top w:val="single" w:color="000000" w:sz="4" w:space="0"/>
              <w:left w:val="single" w:color="000000" w:sz="4" w:space="0"/>
              <w:bottom w:val="nil"/>
              <w:right w:val="nil"/>
            </w:tcBorders>
            <w:shd w:val="clear" w:color="000000" w:fill="FFFFFF"/>
            <w:vAlign w:val="center"/>
          </w:tcPr>
          <w:p>
            <w:pPr>
              <w:widowControl/>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注浆针</w:t>
            </w:r>
          </w:p>
        </w:tc>
        <w:tc>
          <w:tcPr>
            <w:tcW w:w="671" w:type="dxa"/>
            <w:tcBorders>
              <w:top w:val="single" w:color="000000" w:sz="4" w:space="0"/>
              <w:left w:val="single" w:color="000000" w:sz="4" w:space="0"/>
              <w:bottom w:val="nil"/>
              <w:right w:val="nil"/>
            </w:tcBorders>
            <w:shd w:val="clear" w:color="000000" w:fill="FFFFFF"/>
            <w:vAlign w:val="center"/>
          </w:tcPr>
          <w:p>
            <w:pPr>
              <w:widowControl/>
              <w:jc w:val="center"/>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针</w:t>
            </w:r>
          </w:p>
        </w:tc>
        <w:tc>
          <w:tcPr>
            <w:tcW w:w="1059" w:type="dxa"/>
            <w:tcBorders>
              <w:top w:val="single" w:color="000000" w:sz="4" w:space="0"/>
              <w:left w:val="single" w:color="000000" w:sz="4" w:space="0"/>
              <w:bottom w:val="nil"/>
              <w:right w:val="nil"/>
            </w:tcBorders>
            <w:shd w:val="clear" w:color="000000" w:fill="FFFFFF"/>
            <w:vAlign w:val="center"/>
          </w:tcPr>
          <w:p>
            <w:pPr>
              <w:widowControl/>
              <w:jc w:val="righ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2350.00</w:t>
            </w:r>
            <w:r>
              <w:rPr>
                <w:rFonts w:hint="eastAsia" w:ascii="宋体" w:hAnsi="宋体" w:eastAsia="宋体" w:cs="Arial"/>
                <w:color w:val="000000"/>
                <w:kern w:val="0"/>
                <w:sz w:val="18"/>
                <w:szCs w:val="18"/>
                <w:lang w:val="en-US" w:eastAsia="zh-CN"/>
              </w:rPr>
              <w:t>0</w:t>
            </w:r>
            <w:r>
              <w:rPr>
                <w:rFonts w:hint="eastAsia" w:ascii="宋体" w:hAnsi="宋体" w:eastAsia="宋体" w:cs="Arial"/>
                <w:color w:val="000000"/>
                <w:kern w:val="0"/>
                <w:sz w:val="18"/>
                <w:szCs w:val="18"/>
              </w:rPr>
              <w:t xml:space="preserve"> </w:t>
            </w:r>
          </w:p>
        </w:tc>
        <w:tc>
          <w:tcPr>
            <w:tcW w:w="1217" w:type="dxa"/>
            <w:tcBorders>
              <w:top w:val="single" w:color="000000" w:sz="4" w:space="0"/>
              <w:left w:val="single" w:color="000000" w:sz="4" w:space="0"/>
              <w:bottom w:val="nil"/>
              <w:right w:val="nil"/>
            </w:tcBorders>
            <w:shd w:val="clear" w:color="000000" w:fill="FFFFFF"/>
            <w:vAlign w:val="center"/>
          </w:tcPr>
          <w:p>
            <w:pPr>
              <w:widowControl/>
              <w:jc w:val="righ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43" w:type="dxa"/>
            <w:tcBorders>
              <w:top w:val="single" w:color="000000" w:sz="4" w:space="0"/>
              <w:left w:val="single" w:color="000000" w:sz="4" w:space="0"/>
              <w:bottom w:val="nil"/>
              <w:right w:val="nil"/>
            </w:tcBorders>
            <w:shd w:val="clear" w:color="000000" w:fill="FFFFFF"/>
            <w:vAlign w:val="center"/>
          </w:tcPr>
          <w:p>
            <w:pPr>
              <w:widowControl/>
              <w:jc w:val="righ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Arial" w:hAnsi="Arial" w:eastAsia="宋体" w:cs="Arial"/>
                <w:kern w:val="0"/>
                <w:sz w:val="20"/>
                <w:szCs w:val="20"/>
              </w:rPr>
            </w:pPr>
            <w:r>
              <w:rPr>
                <w:rFonts w:ascii="Arial" w:hAnsi="Arial" w:eastAsia="宋体" w:cs="Arial"/>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73"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4</w:t>
            </w:r>
          </w:p>
        </w:tc>
        <w:tc>
          <w:tcPr>
            <w:tcW w:w="1022" w:type="dxa"/>
            <w:tcBorders>
              <w:top w:val="single" w:color="000000" w:sz="4" w:space="0"/>
              <w:left w:val="single" w:color="000000" w:sz="4" w:space="0"/>
              <w:bottom w:val="nil"/>
              <w:right w:val="nil"/>
            </w:tcBorders>
            <w:shd w:val="clear" w:color="000000" w:fill="FFFFFF"/>
            <w:vAlign w:val="center"/>
          </w:tcPr>
          <w:p>
            <w:pPr>
              <w:widowControl/>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354" w:type="dxa"/>
            <w:tcBorders>
              <w:top w:val="single" w:color="000000" w:sz="4" w:space="0"/>
              <w:left w:val="single" w:color="000000" w:sz="4" w:space="0"/>
              <w:bottom w:val="nil"/>
              <w:right w:val="nil"/>
            </w:tcBorders>
            <w:shd w:val="clear" w:color="000000" w:fill="FFFFFF"/>
            <w:vAlign w:val="center"/>
          </w:tcPr>
          <w:p>
            <w:pPr>
              <w:widowControl/>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登高辅助费</w:t>
            </w:r>
          </w:p>
        </w:tc>
        <w:tc>
          <w:tcPr>
            <w:tcW w:w="671" w:type="dxa"/>
            <w:tcBorders>
              <w:top w:val="single" w:color="000000" w:sz="4" w:space="0"/>
              <w:left w:val="single" w:color="000000" w:sz="4" w:space="0"/>
              <w:bottom w:val="nil"/>
              <w:right w:val="nil"/>
            </w:tcBorders>
            <w:shd w:val="clear" w:color="000000" w:fill="FFFFFF"/>
            <w:vAlign w:val="center"/>
          </w:tcPr>
          <w:p>
            <w:pPr>
              <w:widowControl/>
              <w:jc w:val="center"/>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项</w:t>
            </w:r>
          </w:p>
        </w:tc>
        <w:tc>
          <w:tcPr>
            <w:tcW w:w="1059" w:type="dxa"/>
            <w:tcBorders>
              <w:top w:val="single" w:color="000000" w:sz="4" w:space="0"/>
              <w:left w:val="single" w:color="000000" w:sz="4" w:space="0"/>
              <w:bottom w:val="nil"/>
              <w:right w:val="nil"/>
            </w:tcBorders>
            <w:shd w:val="clear" w:color="000000" w:fill="FFFFFF"/>
            <w:vAlign w:val="center"/>
          </w:tcPr>
          <w:p>
            <w:pPr>
              <w:widowControl/>
              <w:jc w:val="righ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1.00</w:t>
            </w:r>
            <w:r>
              <w:rPr>
                <w:rFonts w:hint="eastAsia" w:ascii="宋体" w:hAnsi="宋体" w:eastAsia="宋体" w:cs="Arial"/>
                <w:color w:val="000000"/>
                <w:kern w:val="0"/>
                <w:sz w:val="18"/>
                <w:szCs w:val="18"/>
                <w:lang w:val="en-US" w:eastAsia="zh-CN"/>
              </w:rPr>
              <w:t>0</w:t>
            </w:r>
            <w:r>
              <w:rPr>
                <w:rFonts w:hint="eastAsia" w:ascii="宋体" w:hAnsi="宋体" w:eastAsia="宋体" w:cs="Arial"/>
                <w:color w:val="000000"/>
                <w:kern w:val="0"/>
                <w:sz w:val="18"/>
                <w:szCs w:val="18"/>
              </w:rPr>
              <w:t xml:space="preserve"> </w:t>
            </w:r>
          </w:p>
        </w:tc>
        <w:tc>
          <w:tcPr>
            <w:tcW w:w="1217" w:type="dxa"/>
            <w:tcBorders>
              <w:top w:val="single" w:color="000000" w:sz="4" w:space="0"/>
              <w:left w:val="single" w:color="000000" w:sz="4" w:space="0"/>
              <w:bottom w:val="nil"/>
              <w:right w:val="nil"/>
            </w:tcBorders>
            <w:shd w:val="clear" w:color="000000" w:fill="FFFFFF"/>
            <w:vAlign w:val="center"/>
          </w:tcPr>
          <w:p>
            <w:pPr>
              <w:widowControl/>
              <w:jc w:val="righ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43" w:type="dxa"/>
            <w:tcBorders>
              <w:top w:val="single" w:color="000000" w:sz="4" w:space="0"/>
              <w:left w:val="single" w:color="000000" w:sz="4" w:space="0"/>
              <w:bottom w:val="nil"/>
              <w:right w:val="nil"/>
            </w:tcBorders>
            <w:shd w:val="clear" w:color="000000" w:fill="FFFFFF"/>
            <w:vAlign w:val="center"/>
          </w:tcPr>
          <w:p>
            <w:pPr>
              <w:widowControl/>
              <w:jc w:val="righ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Arial" w:hAnsi="Arial" w:eastAsia="宋体" w:cs="Arial"/>
                <w:kern w:val="0"/>
                <w:sz w:val="20"/>
                <w:szCs w:val="20"/>
              </w:rPr>
            </w:pPr>
            <w:r>
              <w:rPr>
                <w:rFonts w:ascii="Arial" w:hAnsi="Arial" w:eastAsia="宋体" w:cs="Arial"/>
                <w:kern w:val="0"/>
                <w:sz w:val="20"/>
                <w:szCs w:val="20"/>
              </w:rPr>
              <w:t>　</w:t>
            </w:r>
          </w:p>
        </w:tc>
      </w:tr>
      <w:tr>
        <w:tblPrEx>
          <w:tblLayout w:type="fixed"/>
          <w:tblCellMar>
            <w:top w:w="0" w:type="dxa"/>
            <w:left w:w="108" w:type="dxa"/>
            <w:bottom w:w="0" w:type="dxa"/>
            <w:right w:w="108" w:type="dxa"/>
          </w:tblCellMar>
        </w:tblPrEx>
        <w:trPr>
          <w:trHeight w:val="1350" w:hRule="atLeast"/>
          <w:jc w:val="center"/>
        </w:trPr>
        <w:tc>
          <w:tcPr>
            <w:tcW w:w="573"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5</w:t>
            </w:r>
          </w:p>
        </w:tc>
        <w:tc>
          <w:tcPr>
            <w:tcW w:w="1022" w:type="dxa"/>
            <w:tcBorders>
              <w:top w:val="single" w:color="000000" w:sz="4" w:space="0"/>
              <w:left w:val="single" w:color="000000" w:sz="4" w:space="0"/>
              <w:bottom w:val="nil"/>
              <w:right w:val="nil"/>
            </w:tcBorders>
            <w:shd w:val="clear" w:color="000000" w:fill="FFFFFF"/>
            <w:vAlign w:val="center"/>
          </w:tcPr>
          <w:p>
            <w:pPr>
              <w:widowControl/>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354" w:type="dxa"/>
            <w:tcBorders>
              <w:top w:val="single" w:color="000000" w:sz="4" w:space="0"/>
              <w:left w:val="single" w:color="000000" w:sz="4" w:space="0"/>
              <w:bottom w:val="nil"/>
              <w:right w:val="nil"/>
            </w:tcBorders>
            <w:shd w:val="clear" w:color="000000" w:fill="FFFFFF"/>
            <w:vAlign w:val="center"/>
          </w:tcPr>
          <w:p>
            <w:pPr>
              <w:widowControl/>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隔离区施工措施费 （因隔离区内的的施工，投标人须采用相应施工措施，包括施工导致的夜间加班、工效降低、证件办理等需产生的费用必须充分考虑，费用包含在投标报价中）</w:t>
            </w:r>
          </w:p>
        </w:tc>
        <w:tc>
          <w:tcPr>
            <w:tcW w:w="671" w:type="dxa"/>
            <w:tcBorders>
              <w:top w:val="single" w:color="000000" w:sz="4" w:space="0"/>
              <w:left w:val="single" w:color="000000" w:sz="4" w:space="0"/>
              <w:bottom w:val="nil"/>
              <w:right w:val="nil"/>
            </w:tcBorders>
            <w:shd w:val="clear" w:color="000000" w:fill="FFFFFF"/>
            <w:vAlign w:val="center"/>
          </w:tcPr>
          <w:p>
            <w:pPr>
              <w:widowControl/>
              <w:jc w:val="center"/>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项</w:t>
            </w:r>
          </w:p>
        </w:tc>
        <w:tc>
          <w:tcPr>
            <w:tcW w:w="1059" w:type="dxa"/>
            <w:tcBorders>
              <w:top w:val="single" w:color="000000" w:sz="4" w:space="0"/>
              <w:left w:val="single" w:color="000000" w:sz="4" w:space="0"/>
              <w:bottom w:val="nil"/>
              <w:right w:val="nil"/>
            </w:tcBorders>
            <w:shd w:val="clear" w:color="000000" w:fill="FFFFFF"/>
            <w:vAlign w:val="center"/>
          </w:tcPr>
          <w:p>
            <w:pPr>
              <w:widowControl/>
              <w:jc w:val="righ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1.00</w:t>
            </w:r>
            <w:r>
              <w:rPr>
                <w:rFonts w:hint="eastAsia" w:ascii="宋体" w:hAnsi="宋体" w:eastAsia="宋体" w:cs="Arial"/>
                <w:color w:val="000000"/>
                <w:kern w:val="0"/>
                <w:sz w:val="18"/>
                <w:szCs w:val="18"/>
                <w:lang w:val="en-US" w:eastAsia="zh-CN"/>
              </w:rPr>
              <w:t>0</w:t>
            </w:r>
            <w:r>
              <w:rPr>
                <w:rFonts w:hint="eastAsia" w:ascii="宋体" w:hAnsi="宋体" w:eastAsia="宋体" w:cs="Arial"/>
                <w:color w:val="000000"/>
                <w:kern w:val="0"/>
                <w:sz w:val="18"/>
                <w:szCs w:val="18"/>
              </w:rPr>
              <w:t xml:space="preserve"> </w:t>
            </w:r>
          </w:p>
        </w:tc>
        <w:tc>
          <w:tcPr>
            <w:tcW w:w="1217" w:type="dxa"/>
            <w:tcBorders>
              <w:top w:val="single" w:color="000000" w:sz="4" w:space="0"/>
              <w:left w:val="single" w:color="000000" w:sz="4" w:space="0"/>
              <w:bottom w:val="nil"/>
              <w:right w:val="nil"/>
            </w:tcBorders>
            <w:shd w:val="clear" w:color="000000" w:fill="FFFFFF"/>
            <w:vAlign w:val="center"/>
          </w:tcPr>
          <w:p>
            <w:pPr>
              <w:widowControl/>
              <w:jc w:val="righ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43" w:type="dxa"/>
            <w:tcBorders>
              <w:top w:val="single" w:color="000000" w:sz="4" w:space="0"/>
              <w:left w:val="single" w:color="000000" w:sz="4" w:space="0"/>
              <w:bottom w:val="nil"/>
              <w:right w:val="nil"/>
            </w:tcBorders>
            <w:shd w:val="clear" w:color="000000" w:fill="FFFFFF"/>
            <w:vAlign w:val="center"/>
          </w:tcPr>
          <w:p>
            <w:pPr>
              <w:widowControl/>
              <w:jc w:val="righ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Arial" w:hAnsi="Arial" w:eastAsia="宋体" w:cs="Arial"/>
                <w:kern w:val="0"/>
                <w:sz w:val="20"/>
                <w:szCs w:val="20"/>
              </w:rPr>
            </w:pPr>
            <w:r>
              <w:rPr>
                <w:rFonts w:ascii="Arial" w:hAnsi="Arial" w:eastAsia="宋体" w:cs="Arial"/>
                <w:kern w:val="0"/>
                <w:sz w:val="20"/>
                <w:szCs w:val="20"/>
              </w:rPr>
              <w:t>　</w:t>
            </w:r>
          </w:p>
        </w:tc>
      </w:tr>
      <w:tr>
        <w:tblPrEx>
          <w:tblLayout w:type="fixed"/>
          <w:tblCellMar>
            <w:top w:w="0" w:type="dxa"/>
            <w:left w:w="108" w:type="dxa"/>
            <w:bottom w:w="0" w:type="dxa"/>
            <w:right w:w="108" w:type="dxa"/>
          </w:tblCellMar>
        </w:tblPrEx>
        <w:trPr>
          <w:trHeight w:val="1110" w:hRule="atLeast"/>
          <w:jc w:val="center"/>
        </w:trPr>
        <w:tc>
          <w:tcPr>
            <w:tcW w:w="573"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6</w:t>
            </w:r>
          </w:p>
        </w:tc>
        <w:tc>
          <w:tcPr>
            <w:tcW w:w="1022" w:type="dxa"/>
            <w:tcBorders>
              <w:top w:val="single" w:color="000000" w:sz="4" w:space="0"/>
              <w:left w:val="single" w:color="000000" w:sz="4" w:space="0"/>
              <w:bottom w:val="nil"/>
              <w:right w:val="nil"/>
            </w:tcBorders>
            <w:shd w:val="clear" w:color="000000" w:fill="FFFFFF"/>
            <w:vAlign w:val="center"/>
          </w:tcPr>
          <w:p>
            <w:pPr>
              <w:widowControl/>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354" w:type="dxa"/>
            <w:tcBorders>
              <w:top w:val="single" w:color="000000" w:sz="4" w:space="0"/>
              <w:left w:val="single" w:color="000000" w:sz="4" w:space="0"/>
              <w:bottom w:val="nil"/>
              <w:right w:val="nil"/>
            </w:tcBorders>
            <w:shd w:val="clear" w:color="000000" w:fill="FFFFFF"/>
            <w:vAlign w:val="center"/>
          </w:tcPr>
          <w:p>
            <w:pPr>
              <w:widowControl/>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施工安全监管费 （投标需考虑聘请专业保安（负责门卫、巡逻、施工现场看护、隔离区围界看护等工作，人数每8小时不得少于1人，并配备相应的保卫措施）</w:t>
            </w:r>
          </w:p>
        </w:tc>
        <w:tc>
          <w:tcPr>
            <w:tcW w:w="671" w:type="dxa"/>
            <w:tcBorders>
              <w:top w:val="single" w:color="000000" w:sz="4" w:space="0"/>
              <w:left w:val="single" w:color="000000" w:sz="4" w:space="0"/>
              <w:bottom w:val="nil"/>
              <w:right w:val="nil"/>
            </w:tcBorders>
            <w:shd w:val="clear" w:color="000000" w:fill="FFFFFF"/>
            <w:vAlign w:val="center"/>
          </w:tcPr>
          <w:p>
            <w:pPr>
              <w:widowControl/>
              <w:jc w:val="center"/>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元</w:t>
            </w:r>
          </w:p>
        </w:tc>
        <w:tc>
          <w:tcPr>
            <w:tcW w:w="1059" w:type="dxa"/>
            <w:tcBorders>
              <w:top w:val="single" w:color="000000" w:sz="4" w:space="0"/>
              <w:left w:val="single" w:color="000000" w:sz="4" w:space="0"/>
              <w:bottom w:val="nil"/>
              <w:right w:val="nil"/>
            </w:tcBorders>
            <w:shd w:val="clear" w:color="000000" w:fill="FFFFFF"/>
            <w:vAlign w:val="center"/>
          </w:tcPr>
          <w:p>
            <w:pPr>
              <w:widowControl/>
              <w:jc w:val="righ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8000.00</w:t>
            </w:r>
            <w:r>
              <w:rPr>
                <w:rFonts w:hint="eastAsia" w:ascii="宋体" w:hAnsi="宋体" w:eastAsia="宋体" w:cs="Arial"/>
                <w:color w:val="000000"/>
                <w:kern w:val="0"/>
                <w:sz w:val="18"/>
                <w:szCs w:val="18"/>
                <w:lang w:val="en-US" w:eastAsia="zh-CN"/>
              </w:rPr>
              <w:t>0</w:t>
            </w:r>
            <w:r>
              <w:rPr>
                <w:rFonts w:hint="eastAsia" w:ascii="宋体" w:hAnsi="宋体" w:eastAsia="宋体" w:cs="Arial"/>
                <w:color w:val="000000"/>
                <w:kern w:val="0"/>
                <w:sz w:val="18"/>
                <w:szCs w:val="18"/>
              </w:rPr>
              <w:t xml:space="preserve"> </w:t>
            </w:r>
          </w:p>
        </w:tc>
        <w:tc>
          <w:tcPr>
            <w:tcW w:w="1217" w:type="dxa"/>
            <w:tcBorders>
              <w:top w:val="single" w:color="000000" w:sz="4" w:space="0"/>
              <w:left w:val="single" w:color="000000" w:sz="4" w:space="0"/>
              <w:bottom w:val="nil"/>
              <w:right w:val="nil"/>
            </w:tcBorders>
            <w:shd w:val="clear" w:color="000000" w:fill="FFFFFF"/>
            <w:vAlign w:val="center"/>
          </w:tcPr>
          <w:p>
            <w:pPr>
              <w:widowControl/>
              <w:jc w:val="righ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43" w:type="dxa"/>
            <w:tcBorders>
              <w:top w:val="single" w:color="000000" w:sz="4" w:space="0"/>
              <w:left w:val="single" w:color="000000" w:sz="4" w:space="0"/>
              <w:bottom w:val="nil"/>
              <w:right w:val="nil"/>
            </w:tcBorders>
            <w:shd w:val="clear" w:color="000000" w:fill="FFFFFF"/>
            <w:vAlign w:val="center"/>
          </w:tcPr>
          <w:p>
            <w:pPr>
              <w:widowControl/>
              <w:jc w:val="righ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20"/>
                <w:szCs w:val="20"/>
              </w:rPr>
            </w:pPr>
            <w:r>
              <w:rPr>
                <w:rFonts w:hint="eastAsia" w:ascii="宋体" w:hAnsi="宋体" w:eastAsia="宋体" w:cs="Arial"/>
                <w:kern w:val="0"/>
                <w:sz w:val="20"/>
                <w:szCs w:val="20"/>
              </w:rPr>
              <w:t>暂列金额</w:t>
            </w:r>
          </w:p>
        </w:tc>
      </w:tr>
      <w:tr>
        <w:tblPrEx>
          <w:tblLayout w:type="fixed"/>
          <w:tblCellMar>
            <w:top w:w="0" w:type="dxa"/>
            <w:left w:w="108" w:type="dxa"/>
            <w:bottom w:w="0" w:type="dxa"/>
            <w:right w:w="108" w:type="dxa"/>
          </w:tblCellMar>
        </w:tblPrEx>
        <w:trPr>
          <w:trHeight w:val="420" w:hRule="atLeast"/>
          <w:jc w:val="center"/>
        </w:trPr>
        <w:tc>
          <w:tcPr>
            <w:tcW w:w="573" w:type="dxa"/>
            <w:tcBorders>
              <w:top w:val="single" w:color="000000" w:sz="4" w:space="0"/>
              <w:left w:val="single" w:color="000000" w:sz="4" w:space="0"/>
              <w:bottom w:val="nil"/>
              <w:right w:val="nil"/>
            </w:tcBorders>
            <w:shd w:val="clear" w:color="000000" w:fill="FFFFFF"/>
            <w:vAlign w:val="center"/>
          </w:tcPr>
          <w:p>
            <w:pPr>
              <w:widowControl/>
              <w:jc w:val="center"/>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7</w:t>
            </w:r>
          </w:p>
        </w:tc>
        <w:tc>
          <w:tcPr>
            <w:tcW w:w="1022" w:type="dxa"/>
            <w:tcBorders>
              <w:top w:val="single" w:color="000000" w:sz="4" w:space="0"/>
              <w:left w:val="single" w:color="000000" w:sz="4" w:space="0"/>
              <w:bottom w:val="nil"/>
              <w:right w:val="nil"/>
            </w:tcBorders>
            <w:shd w:val="clear" w:color="000000" w:fill="FFFFFF"/>
            <w:vAlign w:val="center"/>
          </w:tcPr>
          <w:p>
            <w:pPr>
              <w:widowControl/>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354" w:type="dxa"/>
            <w:tcBorders>
              <w:top w:val="single" w:color="000000" w:sz="4" w:space="0"/>
              <w:left w:val="single" w:color="000000" w:sz="4" w:space="0"/>
              <w:bottom w:val="nil"/>
              <w:right w:val="nil"/>
            </w:tcBorders>
            <w:shd w:val="clear" w:color="000000" w:fill="FFFFFF"/>
            <w:vAlign w:val="center"/>
          </w:tcPr>
          <w:p>
            <w:pPr>
              <w:widowControl/>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材料搬运及垃圾清理外运</w:t>
            </w:r>
          </w:p>
        </w:tc>
        <w:tc>
          <w:tcPr>
            <w:tcW w:w="671" w:type="dxa"/>
            <w:tcBorders>
              <w:top w:val="single" w:color="000000" w:sz="4" w:space="0"/>
              <w:left w:val="single" w:color="000000" w:sz="4" w:space="0"/>
              <w:bottom w:val="nil"/>
              <w:right w:val="nil"/>
            </w:tcBorders>
            <w:shd w:val="clear" w:color="000000" w:fill="FFFFFF"/>
            <w:vAlign w:val="center"/>
          </w:tcPr>
          <w:p>
            <w:pPr>
              <w:widowControl/>
              <w:jc w:val="center"/>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项</w:t>
            </w:r>
          </w:p>
        </w:tc>
        <w:tc>
          <w:tcPr>
            <w:tcW w:w="1059" w:type="dxa"/>
            <w:tcBorders>
              <w:top w:val="single" w:color="000000" w:sz="4" w:space="0"/>
              <w:left w:val="single" w:color="000000" w:sz="4" w:space="0"/>
              <w:bottom w:val="nil"/>
              <w:right w:val="nil"/>
            </w:tcBorders>
            <w:shd w:val="clear" w:color="000000" w:fill="FFFFFF"/>
            <w:vAlign w:val="center"/>
          </w:tcPr>
          <w:p>
            <w:pPr>
              <w:widowControl/>
              <w:jc w:val="righ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1.00</w:t>
            </w:r>
            <w:r>
              <w:rPr>
                <w:rFonts w:hint="eastAsia" w:ascii="宋体" w:hAnsi="宋体" w:eastAsia="宋体" w:cs="Arial"/>
                <w:color w:val="000000"/>
                <w:kern w:val="0"/>
                <w:sz w:val="18"/>
                <w:szCs w:val="18"/>
                <w:lang w:val="en-US" w:eastAsia="zh-CN"/>
              </w:rPr>
              <w:t>0</w:t>
            </w:r>
            <w:r>
              <w:rPr>
                <w:rFonts w:hint="eastAsia" w:ascii="宋体" w:hAnsi="宋体" w:eastAsia="宋体" w:cs="Arial"/>
                <w:color w:val="000000"/>
                <w:kern w:val="0"/>
                <w:sz w:val="18"/>
                <w:szCs w:val="18"/>
              </w:rPr>
              <w:t xml:space="preserve"> </w:t>
            </w:r>
          </w:p>
        </w:tc>
        <w:tc>
          <w:tcPr>
            <w:tcW w:w="1217" w:type="dxa"/>
            <w:tcBorders>
              <w:top w:val="single" w:color="000000" w:sz="4" w:space="0"/>
              <w:left w:val="single" w:color="000000" w:sz="4" w:space="0"/>
              <w:bottom w:val="nil"/>
              <w:right w:val="nil"/>
            </w:tcBorders>
            <w:shd w:val="clear" w:color="000000" w:fill="FFFFFF"/>
            <w:vAlign w:val="center"/>
          </w:tcPr>
          <w:p>
            <w:pPr>
              <w:widowControl/>
              <w:jc w:val="righ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43" w:type="dxa"/>
            <w:tcBorders>
              <w:top w:val="single" w:color="000000" w:sz="4" w:space="0"/>
              <w:left w:val="single" w:color="000000" w:sz="4" w:space="0"/>
              <w:bottom w:val="nil"/>
              <w:right w:val="nil"/>
            </w:tcBorders>
            <w:shd w:val="clear" w:color="000000" w:fill="FFFFFF"/>
            <w:vAlign w:val="center"/>
          </w:tcPr>
          <w:p>
            <w:pPr>
              <w:widowControl/>
              <w:jc w:val="righ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Arial" w:hAnsi="Arial" w:eastAsia="宋体" w:cs="Arial"/>
                <w:kern w:val="0"/>
                <w:sz w:val="20"/>
                <w:szCs w:val="20"/>
              </w:rPr>
            </w:pPr>
            <w:r>
              <w:rPr>
                <w:rFonts w:ascii="Arial" w:hAnsi="Arial" w:eastAsia="宋体" w:cs="Arial"/>
                <w:kern w:val="0"/>
                <w:sz w:val="20"/>
                <w:szCs w:val="20"/>
              </w:rPr>
              <w:t>　</w:t>
            </w:r>
          </w:p>
        </w:tc>
      </w:tr>
      <w:tr>
        <w:tblPrEx>
          <w:tblLayout w:type="fixed"/>
          <w:tblCellMar>
            <w:top w:w="0" w:type="dxa"/>
            <w:left w:w="108" w:type="dxa"/>
            <w:bottom w:w="0" w:type="dxa"/>
            <w:right w:w="108" w:type="dxa"/>
          </w:tblCellMar>
        </w:tblPrEx>
        <w:trPr>
          <w:trHeight w:val="435" w:hRule="atLeast"/>
          <w:jc w:val="center"/>
        </w:trPr>
        <w:tc>
          <w:tcPr>
            <w:tcW w:w="7896" w:type="dxa"/>
            <w:gridSpan w:val="6"/>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    计</w:t>
            </w:r>
          </w:p>
        </w:tc>
        <w:tc>
          <w:tcPr>
            <w:tcW w:w="943" w:type="dxa"/>
            <w:tcBorders>
              <w:top w:val="single" w:color="000000" w:sz="4" w:space="0"/>
              <w:left w:val="single" w:color="000000" w:sz="4" w:space="0"/>
              <w:bottom w:val="single" w:color="000000" w:sz="4" w:space="0"/>
              <w:right w:val="nil"/>
            </w:tcBorders>
            <w:shd w:val="clear" w:color="000000" w:fill="FFFFFF"/>
            <w:vAlign w:val="center"/>
          </w:tcPr>
          <w:p>
            <w:pPr>
              <w:widowControl/>
              <w:jc w:val="righ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Arial" w:hAnsi="Arial" w:eastAsia="宋体" w:cs="Arial"/>
                <w:kern w:val="0"/>
                <w:sz w:val="20"/>
                <w:szCs w:val="20"/>
              </w:rPr>
            </w:pPr>
            <w:r>
              <w:rPr>
                <w:rFonts w:ascii="Arial" w:hAnsi="Arial" w:eastAsia="宋体" w:cs="Arial"/>
                <w:kern w:val="0"/>
                <w:sz w:val="20"/>
                <w:szCs w:val="20"/>
              </w:rPr>
              <w:t>　</w:t>
            </w:r>
          </w:p>
        </w:tc>
      </w:tr>
    </w:tbl>
    <w:p/>
    <w:p>
      <w:pPr>
        <w:pStyle w:val="9"/>
        <w:keepNext/>
        <w:pageBreakBefore/>
        <w:spacing w:before="0" w:after="0" w:line="560" w:lineRule="exact"/>
      </w:pPr>
      <w:bookmarkStart w:id="21" w:name="_Toc17683"/>
      <w:bookmarkStart w:id="22" w:name="_Toc139785993"/>
      <w:bookmarkStart w:id="23" w:name="_Toc448097409"/>
      <w:bookmarkStart w:id="24" w:name="_Toc275274581"/>
      <w:r>
        <w:rPr>
          <w:rFonts w:hint="eastAsia"/>
        </w:rPr>
        <w:t>第五章</w:t>
      </w:r>
      <w:r>
        <w:t xml:space="preserve"> </w:t>
      </w:r>
      <w:r>
        <w:rPr>
          <w:rFonts w:hint="eastAsia"/>
        </w:rPr>
        <w:t>技术标准及要求</w:t>
      </w:r>
      <w:bookmarkEnd w:id="21"/>
      <w:bookmarkEnd w:id="22"/>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一、总体要求</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招标范围：主要工作内容具体详见工程量清单</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施工前应做好施工技术方案或施工组织设计，并经批准后进行施工。施工前应按设计要求进行定位放线，并对测量基线，水准基点等进行复核。施工中必须作好施工记录，并及时处理好施工中出现的问题。严格做好施工场地及周边的文明施工和环境保护工作。做好与施工现场各专业施工队伍的配合工作。</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1.1 依据技术文件要求，本工程项目的施工必须达到以下现行中华人民共和国及省、市、行业的一切有关法规、规范的要求，如下述标准及规范要求有出入则以较严格者为准。</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1.1.1适用法律、法规名称：</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中华人民共和国建筑法</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中华人民共和国民法典</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中华人民共和国招标投标法</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建设工程质量管理条例（国务院279号令）</w:t>
      </w:r>
    </w:p>
    <w:p>
      <w:pPr>
        <w:adjustRightInd w:val="0"/>
        <w:snapToGrid w:val="0"/>
        <w:spacing w:line="360" w:lineRule="exact"/>
        <w:ind w:firstLine="560" w:firstLineChars="200"/>
        <w:jc w:val="left"/>
        <w:rPr>
          <w:rFonts w:ascii="仿宋_GB2312" w:hAnsi="仿宋_GB2312" w:eastAsia="仿宋_GB2312" w:cs="仿宋_GB2312"/>
          <w:sz w:val="28"/>
          <w:szCs w:val="28"/>
        </w:rPr>
      </w:pPr>
      <w:bookmarkStart w:id="25" w:name="_Toc66769198"/>
      <w:r>
        <w:rPr>
          <w:rFonts w:hint="eastAsia" w:ascii="仿宋_GB2312" w:hAnsi="仿宋_GB2312" w:eastAsia="仿宋_GB2312" w:cs="仿宋_GB2312"/>
          <w:sz w:val="28"/>
          <w:szCs w:val="28"/>
        </w:rPr>
        <w:t>二、材料要求</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2.1工程材料选择</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（1）设备材料选择 </w:t>
      </w:r>
    </w:p>
    <w:p>
      <w:pPr>
        <w:widowControl/>
        <w:tabs>
          <w:tab w:val="left" w:pos="720"/>
        </w:tabs>
        <w:snapToGrid w:val="0"/>
        <w:spacing w:line="360" w:lineRule="exact"/>
        <w:ind w:firstLine="560" w:firstLineChars="200"/>
        <w:jc w:val="left"/>
        <w:rPr>
          <w:rFonts w:ascii="仿宋_GB2312" w:hAnsi="仿宋_GB2312" w:eastAsia="仿宋_GB2312" w:cs="仿宋_GB2312"/>
          <w:sz w:val="28"/>
          <w:szCs w:val="28"/>
          <w:lang w:val="zh-CN"/>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1)招标人有材料品牌要求的，投标人应按招标文件推荐品牌要求填报，所有未根据要求而未填报或漏填报品牌的投标文件在中标后，招标人有权在推荐品牌中指定任一品牌作为施工使用品牌且中标人不得有异议，价格不变；投标人在投标文件中若提供了招标人推荐品牌外的产品，应同时提供相当于招标人推荐品牌产品的证明材料。</w:t>
      </w:r>
    </w:p>
    <w:p>
      <w:pPr>
        <w:widowControl/>
        <w:tabs>
          <w:tab w:val="left" w:pos="720"/>
        </w:tabs>
        <w:snapToGrid w:val="0"/>
        <w:spacing w:line="360" w:lineRule="exact"/>
        <w:ind w:firstLine="560" w:firstLineChars="200"/>
        <w:jc w:val="left"/>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2)招标人推荐的品牌详见“</w:t>
      </w:r>
      <w:r>
        <w:rPr>
          <w:rFonts w:hint="eastAsia" w:ascii="仿宋_GB2312" w:hAnsi="仿宋_GB2312" w:eastAsia="仿宋_GB2312" w:cs="仿宋_GB2312"/>
          <w:sz w:val="28"/>
          <w:szCs w:val="28"/>
        </w:rPr>
        <w:t>主要材料设备推荐品牌一览表</w:t>
      </w:r>
      <w:r>
        <w:rPr>
          <w:rFonts w:hint="eastAsia" w:ascii="仿宋_GB2312" w:hAnsi="仿宋_GB2312" w:eastAsia="仿宋_GB2312" w:cs="仿宋_GB2312"/>
          <w:sz w:val="28"/>
          <w:szCs w:val="28"/>
          <w:lang w:val="zh-CN"/>
        </w:rPr>
        <w:t>”中内容。</w:t>
      </w:r>
    </w:p>
    <w:p>
      <w:pPr>
        <w:widowControl/>
        <w:tabs>
          <w:tab w:val="left" w:pos="720"/>
        </w:tabs>
        <w:snapToGrid w:val="0"/>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主要材料设备推荐品牌一览表</w:t>
      </w:r>
    </w:p>
    <w:tbl>
      <w:tblPr>
        <w:tblStyle w:val="12"/>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223"/>
        <w:gridCol w:w="6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376" w:type="dxa"/>
          </w:tcPr>
          <w:p>
            <w:pPr>
              <w:widowControl/>
              <w:tabs>
                <w:tab w:val="left" w:pos="720"/>
              </w:tabs>
              <w:snapToGrid w:val="0"/>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2223" w:type="dxa"/>
          </w:tcPr>
          <w:p>
            <w:pPr>
              <w:snapToGrid w:val="0"/>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材料</w:t>
            </w:r>
          </w:p>
        </w:tc>
        <w:tc>
          <w:tcPr>
            <w:tcW w:w="6256" w:type="dxa"/>
          </w:tcPr>
          <w:p>
            <w:pPr>
              <w:snapToGrid w:val="0"/>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376" w:type="dxa"/>
          </w:tcPr>
          <w:p>
            <w:pPr>
              <w:snapToGrid w:val="0"/>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2223" w:type="dxa"/>
          </w:tcPr>
          <w:p>
            <w:pPr>
              <w:snapToGrid w:val="0"/>
              <w:spacing w:line="3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w:t>
            </w:r>
          </w:p>
        </w:tc>
        <w:tc>
          <w:tcPr>
            <w:tcW w:w="6256" w:type="dxa"/>
          </w:tcPr>
          <w:p>
            <w:pPr>
              <w:snapToGrid w:val="0"/>
              <w:spacing w:line="3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w:t>
            </w:r>
          </w:p>
        </w:tc>
      </w:tr>
    </w:tbl>
    <w:p>
      <w:pPr>
        <w:widowControl/>
        <w:tabs>
          <w:tab w:val="left" w:pos="720"/>
        </w:tabs>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b/>
          <w:sz w:val="28"/>
          <w:szCs w:val="28"/>
        </w:rPr>
        <w:t>3)所用各类设备材料须经招标人认可后方可使用。</w:t>
      </w:r>
      <w:r>
        <w:rPr>
          <w:rFonts w:hint="eastAsia" w:ascii="仿宋_GB2312" w:hAnsi="仿宋_GB2312" w:eastAsia="仿宋_GB2312" w:cs="仿宋_GB2312"/>
          <w:sz w:val="28"/>
          <w:szCs w:val="28"/>
        </w:rPr>
        <w:t>投标单位主要设备材料品牌漏填或少填的，中标后由招标人在推荐品牌中选定，且报价不作调整。</w:t>
      </w:r>
    </w:p>
    <w:p>
      <w:pPr>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4）所用各类设备材料都应符合设计和国家规定的相关技术规范标准要求。 </w:t>
      </w:r>
    </w:p>
    <w:p>
      <w:pPr>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5）所用各类设备材料均有质量合格证书。</w:t>
      </w:r>
    </w:p>
    <w:p>
      <w:pPr>
        <w:widowControl/>
        <w:tabs>
          <w:tab w:val="left" w:pos="720"/>
        </w:tabs>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6）中标人在选定品牌或制造商时应充分考虑供货等风险，若中标人选定品牌或制造商在实施时无法供货或无法正常供货，将由招标人在推荐品牌或制造商中予以指定。</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（2）设备材料的质量保证 </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1）在施工期间内，中标人对有缺陷的部位必须无偿地给予修正，并承担一切由此引起的对招标人或第三者的直接损失，除非该缺陷是由于人为破坏或合同规定的不可抗因素造成的损坏。 </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中标人应对所选用的设备材料的技术满足度和质量负全部责任，其责任不因该品牌是否为招标人推荐减轻或更改。当中标人选定的产品质量达不到设计要求和招标文件要求的技术指标时，招标人保留更换的权利，且中标价不予调整。</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未列入以上品牌推荐表的其它材料和设备，投标人在投标报价时应选择国内优质成熟的产品，施工时需得到招标人的认可，如中标人选定的产品不能满足以上要求，招标人保留更换的权利，且中标价不予调整。</w:t>
      </w:r>
    </w:p>
    <w:p>
      <w:pPr>
        <w:adjustRightInd w:val="0"/>
        <w:snapToGrid w:val="0"/>
        <w:spacing w:line="360" w:lineRule="exact"/>
        <w:ind w:firstLine="560"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（3）施工过程中如涉及需拆除原有材料设备（除需利旧的材料设备外），由中标人自行处理，其残值及处置相关费用，由投标人综合考虑，包含在投标报价中。</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三、施工</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3.1一般要求</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中标人必须按照工程量清单及技术规范进行施工，严格按照批准的施工技术方案和施工组织设计进行施工，力争做到“一流的施工管理，一流的工程质量”；同时施工组织实施须遵守机场相关规定要求。</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3.2施工准备</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中标人应在开工前依施工现场情况合理制定施工技术方案和施工组织设计，在服从招标人的安排和总进度计划要求情况下制定施工方案，并按招标人批准的施工方案组织施工。</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3.3施工质量</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3.3.1工程施工质量控制</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（1）为了保证工程施工质量，投标单位必须建立完善的全面质量管理体系（GB/T1900），对工程施工生产进行全过程、全方位的质量监督、检查与控制。</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（2）施工阶段质量控制包括事前的各项施工准备工作质量控制，施工过程中的质量控制，以及各单项工程及整个工程项目完工后对建筑施工及安装产品质量的事后控制。</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（3）依据国家及政府有关部门颁布的有关质量管理的法律、法规、标准等，严格控制施工工序质量以及检验和评定工程项目质量。</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3.3.2现场质量监督</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（1）中标人在施工过程中，必须无条件地接受招标人的检查和监督，并执行招标人发出的指令，确保工程质量符合设计要求及相关规范、标准的规定。</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（2）工程中使用的材料均应符合相应技术要求，并符合招标人的指示要求，或在现场进行检验。</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没有招标人的批准，隐蔽工程的任何部分均不得覆盖或使之无法查看。中标人应保证招标人有充分的时间，对隐蔽工程进行检查和测量。无论何时，当工程的任何部分已经做好检查准备时，中标人应通知招标人进行检查。</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（4）招标人有权随时对下述事项发出指示：</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1）在指示规定的时间内，将招标人确认不合格的任何材料从现场运走。</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2）在指示规定的时间内，中标人必须将不合格的任何工程拆除并重新施工。</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（5）如果中标人在指示规定的时间内未执行上述指示时，则招标人有权雇用他人执行该项指示，所发生的有关费用由中标人负担。</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（6）根据招标人的指示，中标人应按招标人认为必要的时间和方式暂停工程或其他任何部分的工作，在暂时停工期间，中标人应对工程进行必要的保护和安全保障。</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3.3.3施工偏差要求</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中标人需就一切有关之材料和整体结构，必须满足相应的技术标准及规范的规定。若产生施工偏差，中标人必须无条件返工，直至达到相应的技术标准及规范的规定，费用由中标人承担。</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3.4检验和验收</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招标人有权在本工程施工过程中，进行随时地检查、检验和监督，为合同规定提供的材料进行性能试验。检验工作如果超出了中标人的能力，中标人应安排到第三方（指除招标人、中标人以外的另一方）进行，该第三方必须有检验条件和相应资质。检验工作的任何变化都应征得招标人的书面确认。如果某些试验项目在其他场所进行，</w:t>
      </w:r>
      <w:r>
        <w:rPr>
          <w:rFonts w:hint="eastAsia" w:ascii="仿宋_GB2312" w:hAnsi="仿宋_GB2312" w:eastAsia="仿宋_GB2312" w:cs="仿宋_GB2312"/>
          <w:b/>
          <w:bCs/>
          <w:sz w:val="28"/>
          <w:szCs w:val="28"/>
        </w:rPr>
        <w:t>中标人应替招标人办理进入现场的手续和亲自陪同。</w:t>
      </w:r>
    </w:p>
    <w:p>
      <w:pPr>
        <w:adjustRightInd w:val="0"/>
        <w:snapToGrid w:val="0"/>
        <w:spacing w:line="360" w:lineRule="exact"/>
        <w:ind w:firstLine="560"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3.5施工管理要求</w:t>
      </w:r>
    </w:p>
    <w:p>
      <w:pPr>
        <w:adjustRightInd w:val="0"/>
        <w:snapToGrid w:val="0"/>
        <w:spacing w:line="360" w:lineRule="exact"/>
        <w:ind w:firstLine="560"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3.5.1中标人必须服从招标人对于本工程进度、质量、安全施工等要求。</w:t>
      </w:r>
    </w:p>
    <w:p>
      <w:pPr>
        <w:adjustRightInd w:val="0"/>
        <w:snapToGrid w:val="0"/>
        <w:spacing w:line="360" w:lineRule="exact"/>
        <w:ind w:firstLine="560"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3.5.2本工程发包范围内的工程项目，一律不得分包。一经发现立即取消承包资格，作违约处理，并承担由此引起的一切经济损失。</w:t>
      </w:r>
    </w:p>
    <w:p>
      <w:pPr>
        <w:adjustRightInd w:val="0"/>
        <w:snapToGrid w:val="0"/>
        <w:spacing w:line="360" w:lineRule="exact"/>
        <w:ind w:firstLine="560"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3.5.3中标人应严格按施工技术方案组织施工，并无条件地接受招标人对施工质量的监督和管理。</w:t>
      </w:r>
    </w:p>
    <w:p>
      <w:pPr>
        <w:adjustRightInd w:val="0"/>
        <w:snapToGrid w:val="0"/>
        <w:spacing w:line="360" w:lineRule="exact"/>
        <w:ind w:firstLine="560"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3.5.4施工现场的建筑垃圾要及时清运，并自行运至机场区域范围以外，施工现场的材料、设备退场及现场清扫工作需于竣工验收前全部完成。上述相关处置费用，由投标人综合考虑，包含在投标报价中。</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3.6主要施工技术要求</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3.6.1进出场道路：投标人现场自行调查了解，所有材料不因场内外道路状况、运输线路、运距发生变化而进行调价。</w:t>
      </w:r>
    </w:p>
    <w:p>
      <w:pPr>
        <w:adjustRightInd w:val="0"/>
        <w:snapToGrid w:val="0"/>
        <w:spacing w:line="3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3.6.2本工程施工用水、用电：由招标人提供水电接口，场内接管、安装水、电表由中标人自行解决。中标人施工前需向机场水电管理部门提出申请，由招标人按以下标准向中标人收取费用：</w:t>
      </w:r>
    </w:p>
    <w:p>
      <w:pPr>
        <w:adjustRightInd w:val="0"/>
        <w:snapToGrid w:val="0"/>
        <w:spacing w:line="3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招标人按杭州萧山供水有限公司目前的供水含税单价4.40元/吨为基础水价，向中标人开具 9% 增值税发票收取基本水费，并在基础单价上加收2.91元/吨的供水设施服务费（9%的增值税发票）。在合同有效期内，如遇杭州萧山供水有限公司调整供水单价，基础水价也作相应的调整，收费金额保留小数点后两位四舍五入。</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招标人按每月购入电价作为基础电价，向中标人开具 13% 增值税发票收取基本电费，并在基础单价上加收10%的转供电损耗费（13%增值税发票）。在合同有效期内，如遇招标人每月购入电价调整，基础电价也作相应的调整，收费金额保留小数点后两位四舍五入。</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3.6.3投标人应到工地踏勘以充分了解工地位置、情况、道路、储存空间、装卸限制及任何其他足以影响投标报价的情况，任何因忽视或误解工地情况而导致的索赔或工期延长申请将不被批准。现场安保工作需服从招标人统一安排、调遣，费用从各施工单位相关报价中扣除。</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3.6.4本次招标的工程需考虑以下问题：</w:t>
      </w:r>
    </w:p>
    <w:p>
      <w:pPr>
        <w:numPr>
          <w:ilvl w:val="0"/>
          <w:numId w:val="8"/>
        </w:num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需做好施工单位的车辆进出场及材料推放的管理工作，相关费用计入投标报价，中标后不再调整。</w:t>
      </w:r>
    </w:p>
    <w:p>
      <w:pPr>
        <w:numPr>
          <w:ilvl w:val="0"/>
          <w:numId w:val="8"/>
        </w:num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本工程开工时间根据招标人提供施工场地时间为准，投标人在投标时须考虑由此造成的工期延长，由此造成的费用不做变更。</w:t>
      </w:r>
    </w:p>
    <w:p>
      <w:pPr>
        <w:numPr>
          <w:ilvl w:val="0"/>
          <w:numId w:val="8"/>
        </w:num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本次施工区域可能存在部分障碍物需要拆除、移除，相关费用计入投标报价中，中标后不再调整。</w:t>
      </w:r>
    </w:p>
    <w:bookmarkEnd w:id="25"/>
    <w:p>
      <w:pPr>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四、产品保护</w:t>
      </w:r>
    </w:p>
    <w:p>
      <w:pPr>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4.1在工程现场及其周围已由其他施工单位完成和在建的建筑产品，中标人在现场施工中应负有保护责任和义务，因工程施工引起损坏，由中标人负责赔偿或修复。</w:t>
      </w:r>
    </w:p>
    <w:p>
      <w:pPr>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4.2中标人在施工期间，直至竣工验收尚未正式移交之前，应负责对所有材料及现场进行保护和清洁工作，直至办理完正式移交为止。若在此过程中发生材料丢失和产品损坏，应承担赔偿和修复。</w:t>
      </w:r>
    </w:p>
    <w:p>
      <w:pPr>
        <w:snapToGrid w:val="0"/>
        <w:spacing w:line="360" w:lineRule="exact"/>
        <w:ind w:firstLine="560" w:firstLineChars="200"/>
        <w:jc w:val="left"/>
        <w:rPr>
          <w:rFonts w:ascii="仿宋_GB2312" w:hAnsi="仿宋_GB2312" w:eastAsia="仿宋_GB2312" w:cs="仿宋_GB2312"/>
          <w:b/>
          <w:sz w:val="28"/>
          <w:szCs w:val="28"/>
        </w:rPr>
      </w:pPr>
      <w:r>
        <w:rPr>
          <w:rFonts w:hint="eastAsia" w:ascii="仿宋_GB2312" w:hAnsi="仿宋_GB2312" w:eastAsia="仿宋_GB2312" w:cs="仿宋_GB2312"/>
          <w:b/>
          <w:kern w:val="0"/>
          <w:sz w:val="28"/>
          <w:szCs w:val="28"/>
        </w:rPr>
        <w:t>五、其他要求</w:t>
      </w:r>
    </w:p>
    <w:p>
      <w:pPr>
        <w:adjustRightInd w:val="0"/>
        <w:snapToGrid w:val="0"/>
        <w:spacing w:line="360" w:lineRule="exact"/>
        <w:ind w:firstLine="560"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5.1施工临设在建设单位指定区域自行搭设，施工进场前方案报招标人同意后方可搭建。施工临设用地、材料堆场等在工程竣工验收通过后10日内自行拆除、彻底清理，并恢复原状。费用由投标人综合考虑，不另行计算。</w:t>
      </w:r>
    </w:p>
    <w:p>
      <w:pPr>
        <w:snapToGrid w:val="0"/>
        <w:spacing w:line="360" w:lineRule="exact"/>
        <w:ind w:firstLine="560"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5.2中标人在整个项目的施工阶段，应采用拍照方式记录隐蔽工程及各道工序的施工过程，并形成一套完整的影像资料文件；拍摄的影像资料应能全面的记录整个施工全过程（包含实施前中后）的实际状况，所有的隐蔽工程验收及各道工序都须按检验批拍摄留存影像资料文件。</w:t>
      </w:r>
    </w:p>
    <w:p>
      <w:pPr>
        <w:snapToGrid w:val="0"/>
        <w:spacing w:line="360" w:lineRule="exact"/>
        <w:ind w:firstLine="560"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5.3本工程为固定单价合同。请投标人依据本项目招标内容、技术标准及要求、工程量清单提交报价，参与报价单位应充分考虑施工现场的实际情况、市场风险及自身承受能力，并根据本项目特点及施工技术规范、施工工艺要求，组织并测算为完成项目所必须采取的工艺及措施进行报价，报价应包含完成项目所需人工费、材料费、机械费和对应的企业管理费、利润以及全部风险费用、措施项目费用、其他项目费用、规费、税金等一切费用。项目竣工验收后按实办理结算（按项报价子目不再调整）。</w:t>
      </w:r>
    </w:p>
    <w:p>
      <w:pPr>
        <w:snapToGrid w:val="0"/>
        <w:spacing w:line="360" w:lineRule="exact"/>
        <w:ind w:firstLine="560"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5.4发包范围外招标人提出并签证的费用由中标人在施工前提出并补充编制工料单价预算书。</w:t>
      </w:r>
    </w:p>
    <w:p>
      <w:pPr>
        <w:snapToGrid w:val="0"/>
        <w:spacing w:line="360" w:lineRule="exact"/>
        <w:ind w:firstLine="560"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5.5计日工单价最高限价210元/工日。</w:t>
      </w:r>
    </w:p>
    <w:p>
      <w:pPr>
        <w:snapToGrid w:val="0"/>
        <w:spacing w:line="360" w:lineRule="exact"/>
        <w:ind w:firstLine="560"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5.6工程施工期间，中标人须无条件服从机场公司关于工期进度的统一安排。投标人需充分考虑机场隔离区内施工时间及工期的不确定性，如由于机场运行要求某些时间不得施工等或如遇长时间停工等任何突发情况，请投标人在投标时充分考虑相关费用，中标后不予增加费用。</w:t>
      </w:r>
    </w:p>
    <w:p>
      <w:pPr>
        <w:pStyle w:val="4"/>
        <w:spacing w:line="360" w:lineRule="exact"/>
        <w:ind w:firstLine="560" w:firstLineChars="200"/>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5.7本项目工程位于机场隔离区内，中标人必须确保在施工阶段不影响机场正常运行，遵守机场不停航施工管理规定、施工安全条例。</w:t>
      </w:r>
    </w:p>
    <w:p>
      <w:pPr>
        <w:pStyle w:val="4"/>
        <w:spacing w:line="360" w:lineRule="exact"/>
        <w:ind w:firstLine="560"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5.8中标人施工人员在进出机场隔离区时必须办理相关证件。费用由投标人综合考虑，包含在投标报价中。</w:t>
      </w:r>
    </w:p>
    <w:p>
      <w:pPr>
        <w:pStyle w:val="4"/>
        <w:spacing w:line="360" w:lineRule="exact"/>
        <w:ind w:firstLine="560"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5.9因本项目施工地点位于机场隔离区内，隔离区相关施工措施包括施工导致的夜间加班、工效降低、证件办理等需产生的费用，投标人必须充分考虑，费用包含在隔离区施工措施费报价中。投标人需考虑聘请招标人推荐的机场专业保安，负责门卫、巡逻、施工现场看护、隔离区围界看护等工作，人数每个施工区域每班不得少于1人，并配备相应的保卫措施，保安费用按实结算（结算时中标人需提供相应票据作为依据），★投标报价中施工安全监管费按</w:t>
      </w:r>
      <w:r>
        <w:rPr>
          <w:rFonts w:ascii="仿宋_GB2312" w:hAnsi="仿宋_GB2312" w:eastAsia="仿宋_GB2312" w:cs="仿宋_GB2312"/>
          <w:b/>
          <w:sz w:val="28"/>
          <w:szCs w:val="28"/>
        </w:rPr>
        <w:t>8000</w:t>
      </w:r>
      <w:r>
        <w:rPr>
          <w:rFonts w:hint="eastAsia" w:ascii="仿宋_GB2312" w:hAnsi="仿宋_GB2312" w:eastAsia="仿宋_GB2312" w:cs="仿宋_GB2312"/>
          <w:b/>
          <w:sz w:val="28"/>
          <w:szCs w:val="28"/>
        </w:rPr>
        <w:t>元暂列金额计入，不得优惠。</w:t>
      </w:r>
    </w:p>
    <w:p>
      <w:pPr>
        <w:spacing w:line="360" w:lineRule="exact"/>
        <w:ind w:firstLine="560"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5.</w:t>
      </w:r>
      <w:r>
        <w:rPr>
          <w:rFonts w:hint="eastAsia" w:ascii="仿宋_GB2312" w:hAnsi="仿宋_GB2312" w:eastAsia="仿宋_GB2312" w:cs="仿宋_GB2312"/>
          <w:b/>
          <w:sz w:val="28"/>
          <w:szCs w:val="28"/>
          <w:lang w:val="en-US" w:eastAsia="zh-CN"/>
        </w:rPr>
        <w:t>10</w:t>
      </w:r>
      <w:r>
        <w:rPr>
          <w:rFonts w:hint="eastAsia" w:ascii="仿宋_GB2312" w:hAnsi="仿宋_GB2312" w:eastAsia="仿宋_GB2312" w:cs="仿宋_GB2312"/>
          <w:b/>
          <w:sz w:val="28"/>
          <w:szCs w:val="28"/>
        </w:rPr>
        <w:t>中标人须无条件配合招标人要求，施工前应征得招标人同意，不得擅自施工，如擅自施工导致的一切后果由中标人承担。</w:t>
      </w:r>
    </w:p>
    <w:p>
      <w:pPr>
        <w:spacing w:line="360" w:lineRule="exact"/>
        <w:ind w:firstLine="560"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5.</w:t>
      </w:r>
      <w:r>
        <w:rPr>
          <w:rFonts w:hint="eastAsia" w:ascii="仿宋_GB2312" w:hAnsi="仿宋_GB2312" w:eastAsia="仿宋_GB2312" w:cs="仿宋_GB2312"/>
          <w:b/>
          <w:sz w:val="28"/>
          <w:szCs w:val="28"/>
          <w:lang w:val="en-US" w:eastAsia="zh-CN"/>
        </w:rPr>
        <w:t>11</w:t>
      </w:r>
      <w:r>
        <w:rPr>
          <w:rFonts w:hint="eastAsia" w:ascii="仿宋_GB2312" w:hAnsi="仿宋_GB2312" w:eastAsia="仿宋_GB2312" w:cs="仿宋_GB2312"/>
          <w:b/>
          <w:sz w:val="28"/>
          <w:szCs w:val="28"/>
        </w:rPr>
        <w:t>项目开工前中标人需提供施工进度计划表、施工材料及明细表，待材料、人员、证件全部准备完善并经招标人同意方可进行施工。</w:t>
      </w:r>
    </w:p>
    <w:p>
      <w:pPr>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b/>
          <w:sz w:val="28"/>
          <w:szCs w:val="28"/>
        </w:rPr>
        <w:t>5.1</w:t>
      </w:r>
      <w:r>
        <w:rPr>
          <w:rFonts w:hint="eastAsia" w:ascii="仿宋_GB2312" w:hAnsi="仿宋_GB2312" w:eastAsia="仿宋_GB2312" w:cs="仿宋_GB2312"/>
          <w:b/>
          <w:sz w:val="28"/>
          <w:szCs w:val="28"/>
          <w:lang w:val="en-US" w:eastAsia="zh-CN"/>
        </w:rPr>
        <w:t>2</w:t>
      </w:r>
      <w:r>
        <w:rPr>
          <w:rFonts w:hint="eastAsia" w:ascii="仿宋_GB2312" w:hAnsi="仿宋_GB2312" w:eastAsia="仿宋_GB2312" w:cs="仿宋_GB2312"/>
          <w:b/>
          <w:sz w:val="28"/>
          <w:szCs w:val="28"/>
        </w:rPr>
        <w:t>施工现场围挡的设置应当符合机场相关规定。</w:t>
      </w:r>
    </w:p>
    <w:bookmarkEnd w:id="10"/>
    <w:bookmarkEnd w:id="23"/>
    <w:bookmarkEnd w:id="24"/>
    <w:p>
      <w:pPr>
        <w:pStyle w:val="9"/>
        <w:keepNext/>
        <w:pageBreakBefore/>
        <w:spacing w:before="0" w:after="0" w:line="560" w:lineRule="exact"/>
      </w:pPr>
      <w:bookmarkStart w:id="26" w:name="_Toc139785994"/>
      <w:bookmarkStart w:id="27" w:name="_Toc52907682"/>
      <w:bookmarkStart w:id="28" w:name="_Toc10055"/>
      <w:r>
        <w:t>第</w:t>
      </w:r>
      <w:r>
        <w:rPr>
          <w:rFonts w:hint="eastAsia"/>
        </w:rPr>
        <w:t>六</w:t>
      </w:r>
      <w:r>
        <w:t>章</w:t>
      </w:r>
      <w:r>
        <w:rPr>
          <w:rFonts w:hint="eastAsia"/>
        </w:rPr>
        <w:t xml:space="preserve"> </w:t>
      </w:r>
      <w:r>
        <w:t>投标文件格式</w:t>
      </w:r>
      <w:bookmarkEnd w:id="26"/>
      <w:bookmarkEnd w:id="27"/>
      <w:bookmarkEnd w:id="28"/>
    </w:p>
    <w:p>
      <w:pPr>
        <w:autoSpaceDE w:val="0"/>
        <w:autoSpaceDN w:val="0"/>
        <w:adjustRightInd w:val="0"/>
        <w:spacing w:line="560" w:lineRule="exact"/>
        <w:jc w:val="left"/>
        <w:rPr>
          <w:rFonts w:cs="微软雅黑"/>
          <w:kern w:val="0"/>
          <w:sz w:val="20"/>
          <w:szCs w:val="20"/>
        </w:rPr>
      </w:pPr>
    </w:p>
    <w:p>
      <w:pPr>
        <w:autoSpaceDE w:val="0"/>
        <w:autoSpaceDN w:val="0"/>
        <w:adjustRightInd w:val="0"/>
        <w:spacing w:line="560" w:lineRule="exact"/>
        <w:jc w:val="left"/>
        <w:rPr>
          <w:rFonts w:cs="微软雅黑"/>
          <w:kern w:val="0"/>
          <w:sz w:val="20"/>
          <w:szCs w:val="20"/>
        </w:rPr>
      </w:pPr>
    </w:p>
    <w:p>
      <w:pPr>
        <w:tabs>
          <w:tab w:val="left" w:pos="2980"/>
        </w:tabs>
        <w:autoSpaceDE w:val="0"/>
        <w:autoSpaceDN w:val="0"/>
        <w:adjustRightInd w:val="0"/>
        <w:spacing w:line="560" w:lineRule="exact"/>
        <w:ind w:left="1880" w:right="-20" w:firstLine="1418" w:firstLineChars="350"/>
        <w:jc w:val="left"/>
        <w:rPr>
          <w:rFonts w:cs="微软雅黑"/>
          <w:kern w:val="0"/>
          <w:sz w:val="24"/>
          <w:szCs w:val="28"/>
        </w:rPr>
      </w:pPr>
      <w:r>
        <w:rPr>
          <w:rFonts w:cs="微软雅黑"/>
          <w:w w:val="169"/>
          <w:kern w:val="0"/>
          <w:position w:val="-3"/>
          <w:sz w:val="24"/>
          <w:szCs w:val="28"/>
          <w:u w:val="single"/>
        </w:rPr>
        <w:t xml:space="preserve">       </w:t>
      </w:r>
      <w:r>
        <w:rPr>
          <w:rFonts w:hint="eastAsia" w:cs="微软雅黑"/>
          <w:w w:val="169"/>
          <w:kern w:val="0"/>
          <w:position w:val="-3"/>
          <w:sz w:val="24"/>
          <w:szCs w:val="28"/>
          <w:u w:val="single"/>
        </w:rPr>
        <w:t xml:space="preserve">           </w:t>
      </w:r>
      <w:r>
        <w:rPr>
          <w:rFonts w:cs="微软雅黑"/>
          <w:w w:val="169"/>
          <w:kern w:val="0"/>
          <w:position w:val="-3"/>
          <w:sz w:val="24"/>
          <w:szCs w:val="28"/>
          <w:u w:val="single"/>
        </w:rPr>
        <w:t xml:space="preserve">       </w:t>
      </w:r>
      <w:r>
        <w:rPr>
          <w:rFonts w:cs="微软雅黑"/>
          <w:kern w:val="0"/>
          <w:position w:val="-3"/>
          <w:sz w:val="24"/>
          <w:szCs w:val="28"/>
          <w:u w:val="single"/>
        </w:rPr>
        <w:tab/>
      </w:r>
      <w:r>
        <w:rPr>
          <w:rFonts w:cs="微软雅黑"/>
          <w:kern w:val="0"/>
          <w:position w:val="-3"/>
          <w:sz w:val="24"/>
          <w:szCs w:val="28"/>
        </w:rPr>
        <w:t>(项目</w:t>
      </w:r>
      <w:r>
        <w:rPr>
          <w:rFonts w:cs="微软雅黑"/>
          <w:spacing w:val="-3"/>
          <w:kern w:val="0"/>
          <w:position w:val="-3"/>
          <w:sz w:val="24"/>
          <w:szCs w:val="28"/>
        </w:rPr>
        <w:t>名</w:t>
      </w:r>
      <w:r>
        <w:rPr>
          <w:rFonts w:cs="微软雅黑"/>
          <w:kern w:val="0"/>
          <w:position w:val="-3"/>
          <w:sz w:val="24"/>
          <w:szCs w:val="28"/>
        </w:rPr>
        <w:t>称)</w:t>
      </w:r>
    </w:p>
    <w:p>
      <w:pPr>
        <w:autoSpaceDE w:val="0"/>
        <w:autoSpaceDN w:val="0"/>
        <w:adjustRightInd w:val="0"/>
        <w:spacing w:line="560" w:lineRule="exact"/>
        <w:jc w:val="left"/>
        <w:rPr>
          <w:rFonts w:cs="微软雅黑"/>
          <w:kern w:val="0"/>
          <w:sz w:val="10"/>
          <w:szCs w:val="10"/>
        </w:rPr>
      </w:pPr>
    </w:p>
    <w:p>
      <w:pPr>
        <w:autoSpaceDE w:val="0"/>
        <w:autoSpaceDN w:val="0"/>
        <w:adjustRightInd w:val="0"/>
        <w:spacing w:line="560" w:lineRule="exact"/>
        <w:jc w:val="left"/>
        <w:rPr>
          <w:rFonts w:cs="微软雅黑"/>
          <w:kern w:val="0"/>
          <w:sz w:val="20"/>
          <w:szCs w:val="20"/>
        </w:rPr>
      </w:pPr>
    </w:p>
    <w:p>
      <w:pPr>
        <w:autoSpaceDE w:val="0"/>
        <w:autoSpaceDN w:val="0"/>
        <w:adjustRightInd w:val="0"/>
        <w:spacing w:line="560" w:lineRule="exact"/>
        <w:jc w:val="left"/>
        <w:rPr>
          <w:rFonts w:cs="微软雅黑"/>
          <w:kern w:val="0"/>
          <w:sz w:val="20"/>
          <w:szCs w:val="20"/>
        </w:rPr>
      </w:pPr>
    </w:p>
    <w:p>
      <w:pPr>
        <w:tabs>
          <w:tab w:val="left" w:pos="3780"/>
          <w:tab w:val="left" w:pos="4440"/>
          <w:tab w:val="left" w:pos="5100"/>
        </w:tabs>
        <w:autoSpaceDE w:val="0"/>
        <w:autoSpaceDN w:val="0"/>
        <w:adjustRightInd w:val="0"/>
        <w:spacing w:line="560" w:lineRule="exact"/>
        <w:ind w:left="3138" w:right="3116"/>
        <w:jc w:val="center"/>
        <w:rPr>
          <w:rFonts w:cs="微软雅黑"/>
          <w:kern w:val="0"/>
          <w:sz w:val="44"/>
          <w:szCs w:val="44"/>
        </w:rPr>
      </w:pPr>
      <w:r>
        <w:rPr>
          <w:rFonts w:cs="微软雅黑"/>
          <w:kern w:val="0"/>
          <w:sz w:val="44"/>
          <w:szCs w:val="44"/>
        </w:rPr>
        <w:t>投</w:t>
      </w:r>
      <w:r>
        <w:rPr>
          <w:rFonts w:cs="微软雅黑"/>
          <w:kern w:val="0"/>
          <w:sz w:val="44"/>
          <w:szCs w:val="44"/>
        </w:rPr>
        <w:tab/>
      </w:r>
      <w:r>
        <w:rPr>
          <w:rFonts w:cs="微软雅黑"/>
          <w:kern w:val="0"/>
          <w:sz w:val="44"/>
          <w:szCs w:val="44"/>
        </w:rPr>
        <w:t>标</w:t>
      </w:r>
      <w:r>
        <w:rPr>
          <w:rFonts w:cs="微软雅黑"/>
          <w:kern w:val="0"/>
          <w:sz w:val="44"/>
          <w:szCs w:val="44"/>
        </w:rPr>
        <w:tab/>
      </w:r>
      <w:r>
        <w:rPr>
          <w:rFonts w:cs="微软雅黑"/>
          <w:kern w:val="0"/>
          <w:sz w:val="44"/>
          <w:szCs w:val="44"/>
        </w:rPr>
        <w:t>文</w:t>
      </w:r>
      <w:r>
        <w:rPr>
          <w:rFonts w:cs="微软雅黑"/>
          <w:kern w:val="0"/>
          <w:sz w:val="44"/>
          <w:szCs w:val="44"/>
        </w:rPr>
        <w:tab/>
      </w:r>
      <w:r>
        <w:rPr>
          <w:rFonts w:cs="微软雅黑"/>
          <w:w w:val="99"/>
          <w:kern w:val="0"/>
          <w:sz w:val="44"/>
          <w:szCs w:val="44"/>
        </w:rPr>
        <w:t>件</w:t>
      </w:r>
    </w:p>
    <w:p>
      <w:pPr>
        <w:autoSpaceDE w:val="0"/>
        <w:autoSpaceDN w:val="0"/>
        <w:adjustRightInd w:val="0"/>
        <w:spacing w:line="560" w:lineRule="exact"/>
        <w:jc w:val="left"/>
        <w:rPr>
          <w:rFonts w:cs="微软雅黑"/>
          <w:kern w:val="0"/>
          <w:sz w:val="20"/>
          <w:szCs w:val="20"/>
        </w:rPr>
      </w:pPr>
    </w:p>
    <w:p>
      <w:pPr>
        <w:autoSpaceDE w:val="0"/>
        <w:autoSpaceDN w:val="0"/>
        <w:adjustRightInd w:val="0"/>
        <w:spacing w:line="560" w:lineRule="exact"/>
        <w:jc w:val="left"/>
        <w:rPr>
          <w:rFonts w:cs="微软雅黑"/>
          <w:kern w:val="0"/>
          <w:sz w:val="20"/>
          <w:szCs w:val="20"/>
        </w:rPr>
      </w:pPr>
    </w:p>
    <w:p>
      <w:pPr>
        <w:autoSpaceDE w:val="0"/>
        <w:autoSpaceDN w:val="0"/>
        <w:adjustRightInd w:val="0"/>
        <w:spacing w:line="560" w:lineRule="exact"/>
        <w:jc w:val="left"/>
        <w:rPr>
          <w:rFonts w:cs="微软雅黑"/>
          <w:kern w:val="0"/>
          <w:sz w:val="20"/>
          <w:szCs w:val="20"/>
        </w:rPr>
      </w:pPr>
    </w:p>
    <w:p>
      <w:pPr>
        <w:autoSpaceDE w:val="0"/>
        <w:autoSpaceDN w:val="0"/>
        <w:adjustRightInd w:val="0"/>
        <w:spacing w:line="560" w:lineRule="exact"/>
        <w:jc w:val="left"/>
        <w:rPr>
          <w:rFonts w:cs="微软雅黑"/>
          <w:kern w:val="0"/>
          <w:sz w:val="20"/>
          <w:szCs w:val="20"/>
        </w:rPr>
      </w:pPr>
    </w:p>
    <w:p>
      <w:pPr>
        <w:autoSpaceDE w:val="0"/>
        <w:autoSpaceDN w:val="0"/>
        <w:adjustRightInd w:val="0"/>
        <w:spacing w:line="560" w:lineRule="exact"/>
        <w:jc w:val="left"/>
        <w:rPr>
          <w:rFonts w:cs="微软雅黑"/>
          <w:kern w:val="0"/>
          <w:sz w:val="20"/>
          <w:szCs w:val="20"/>
        </w:rPr>
      </w:pPr>
    </w:p>
    <w:p>
      <w:pPr>
        <w:autoSpaceDE w:val="0"/>
        <w:autoSpaceDN w:val="0"/>
        <w:adjustRightInd w:val="0"/>
        <w:spacing w:line="560" w:lineRule="exact"/>
        <w:jc w:val="left"/>
        <w:rPr>
          <w:rFonts w:cs="微软雅黑"/>
          <w:kern w:val="0"/>
          <w:sz w:val="20"/>
          <w:szCs w:val="20"/>
        </w:rPr>
      </w:pPr>
    </w:p>
    <w:p>
      <w:pPr>
        <w:autoSpaceDE w:val="0"/>
        <w:autoSpaceDN w:val="0"/>
        <w:adjustRightInd w:val="0"/>
        <w:spacing w:line="560" w:lineRule="exact"/>
        <w:jc w:val="left"/>
        <w:rPr>
          <w:rFonts w:cs="微软雅黑"/>
          <w:kern w:val="0"/>
          <w:sz w:val="20"/>
          <w:szCs w:val="20"/>
        </w:rPr>
      </w:pPr>
    </w:p>
    <w:p>
      <w:pPr>
        <w:autoSpaceDE w:val="0"/>
        <w:autoSpaceDN w:val="0"/>
        <w:adjustRightInd w:val="0"/>
        <w:spacing w:line="560" w:lineRule="exact"/>
        <w:jc w:val="left"/>
        <w:rPr>
          <w:rFonts w:cs="微软雅黑"/>
          <w:kern w:val="0"/>
          <w:sz w:val="20"/>
          <w:szCs w:val="20"/>
        </w:rPr>
      </w:pPr>
    </w:p>
    <w:p>
      <w:pPr>
        <w:autoSpaceDE w:val="0"/>
        <w:autoSpaceDN w:val="0"/>
        <w:adjustRightInd w:val="0"/>
        <w:spacing w:line="560" w:lineRule="exact"/>
        <w:jc w:val="left"/>
        <w:rPr>
          <w:rFonts w:cs="微软雅黑"/>
          <w:kern w:val="0"/>
          <w:sz w:val="20"/>
          <w:szCs w:val="20"/>
        </w:rPr>
      </w:pPr>
    </w:p>
    <w:p>
      <w:pPr>
        <w:autoSpaceDE w:val="0"/>
        <w:autoSpaceDN w:val="0"/>
        <w:adjustRightInd w:val="0"/>
        <w:spacing w:line="560" w:lineRule="exact"/>
        <w:jc w:val="left"/>
        <w:rPr>
          <w:rFonts w:cs="微软雅黑"/>
          <w:kern w:val="0"/>
          <w:sz w:val="24"/>
          <w:szCs w:val="24"/>
        </w:rPr>
      </w:pPr>
    </w:p>
    <w:p>
      <w:pPr>
        <w:tabs>
          <w:tab w:val="left" w:pos="6940"/>
          <w:tab w:val="left" w:pos="7520"/>
        </w:tabs>
        <w:autoSpaceDE w:val="0"/>
        <w:autoSpaceDN w:val="0"/>
        <w:adjustRightInd w:val="0"/>
        <w:spacing w:line="560" w:lineRule="exact"/>
        <w:ind w:left="1201" w:right="52"/>
        <w:jc w:val="left"/>
        <w:rPr>
          <w:rFonts w:ascii="宋体" w:hAnsi="宋体" w:cs="微软雅黑"/>
          <w:kern w:val="0"/>
          <w:sz w:val="24"/>
          <w:szCs w:val="28"/>
        </w:rPr>
      </w:pPr>
      <w:r>
        <w:rPr>
          <w:rFonts w:ascii="宋体" w:hAnsi="宋体" w:cs="微软雅黑"/>
          <w:kern w:val="0"/>
          <w:sz w:val="24"/>
          <w:szCs w:val="28"/>
        </w:rPr>
        <w:t>投标人：</w:t>
      </w:r>
      <w:r>
        <w:rPr>
          <w:rFonts w:ascii="宋体" w:hAnsi="宋体" w:cs="微软雅黑"/>
          <w:spacing w:val="57"/>
          <w:kern w:val="0"/>
          <w:sz w:val="24"/>
          <w:szCs w:val="28"/>
          <w:u w:val="single"/>
        </w:rPr>
        <w:t xml:space="preserve"> </w:t>
      </w:r>
      <w:r>
        <w:rPr>
          <w:rFonts w:ascii="宋体" w:hAnsi="宋体" w:cs="微软雅黑"/>
          <w:kern w:val="0"/>
          <w:sz w:val="24"/>
          <w:szCs w:val="28"/>
          <w:u w:val="single"/>
        </w:rPr>
        <w:tab/>
      </w:r>
      <w:r>
        <w:rPr>
          <w:rFonts w:ascii="宋体" w:hAnsi="宋体" w:cs="微软雅黑"/>
          <w:kern w:val="0"/>
          <w:sz w:val="24"/>
          <w:szCs w:val="28"/>
        </w:rPr>
        <w:t>(盖</w:t>
      </w:r>
      <w:r>
        <w:rPr>
          <w:rFonts w:ascii="宋体" w:hAnsi="宋体" w:cs="微软雅黑"/>
          <w:spacing w:val="-3"/>
          <w:kern w:val="0"/>
          <w:sz w:val="24"/>
          <w:szCs w:val="28"/>
        </w:rPr>
        <w:t>单</w:t>
      </w:r>
      <w:r>
        <w:rPr>
          <w:rFonts w:ascii="宋体" w:hAnsi="宋体" w:cs="微软雅黑"/>
          <w:kern w:val="0"/>
          <w:sz w:val="24"/>
          <w:szCs w:val="28"/>
        </w:rPr>
        <w:t>位</w:t>
      </w:r>
      <w:r>
        <w:rPr>
          <w:rFonts w:ascii="宋体" w:hAnsi="宋体" w:cs="微软雅黑"/>
          <w:spacing w:val="-3"/>
          <w:kern w:val="0"/>
          <w:sz w:val="24"/>
          <w:szCs w:val="28"/>
        </w:rPr>
        <w:t>章</w:t>
      </w:r>
      <w:r>
        <w:rPr>
          <w:rFonts w:ascii="宋体" w:hAnsi="宋体" w:cs="微软雅黑"/>
          <w:kern w:val="0"/>
          <w:sz w:val="24"/>
          <w:szCs w:val="28"/>
        </w:rPr>
        <w:t>)</w:t>
      </w:r>
    </w:p>
    <w:p>
      <w:pPr>
        <w:tabs>
          <w:tab w:val="left" w:pos="6940"/>
          <w:tab w:val="left" w:pos="7520"/>
        </w:tabs>
        <w:autoSpaceDE w:val="0"/>
        <w:autoSpaceDN w:val="0"/>
        <w:adjustRightInd w:val="0"/>
        <w:spacing w:line="560" w:lineRule="exact"/>
        <w:ind w:left="1201" w:right="52"/>
        <w:jc w:val="left"/>
        <w:rPr>
          <w:rFonts w:ascii="宋体" w:hAnsi="宋体" w:cs="微软雅黑"/>
          <w:kern w:val="0"/>
          <w:sz w:val="24"/>
          <w:szCs w:val="28"/>
        </w:rPr>
      </w:pPr>
      <w:r>
        <w:rPr>
          <w:rFonts w:ascii="宋体" w:hAnsi="宋体" w:cs="微软雅黑"/>
          <w:kern w:val="0"/>
          <w:sz w:val="24"/>
          <w:szCs w:val="28"/>
        </w:rPr>
        <w:t>法定代</w:t>
      </w:r>
      <w:r>
        <w:rPr>
          <w:rFonts w:ascii="宋体" w:hAnsi="宋体" w:cs="微软雅黑"/>
          <w:spacing w:val="-3"/>
          <w:kern w:val="0"/>
          <w:sz w:val="24"/>
          <w:szCs w:val="28"/>
        </w:rPr>
        <w:t>表</w:t>
      </w:r>
      <w:r>
        <w:rPr>
          <w:rFonts w:ascii="宋体" w:hAnsi="宋体" w:cs="微软雅黑"/>
          <w:kern w:val="0"/>
          <w:sz w:val="24"/>
          <w:szCs w:val="28"/>
        </w:rPr>
        <w:t>人或其</w:t>
      </w:r>
      <w:r>
        <w:rPr>
          <w:rFonts w:ascii="宋体" w:hAnsi="宋体" w:cs="微软雅黑"/>
          <w:spacing w:val="-3"/>
          <w:kern w:val="0"/>
          <w:sz w:val="24"/>
          <w:szCs w:val="28"/>
        </w:rPr>
        <w:t>委托</w:t>
      </w:r>
      <w:r>
        <w:rPr>
          <w:rFonts w:ascii="宋体" w:hAnsi="宋体" w:cs="微软雅黑"/>
          <w:kern w:val="0"/>
          <w:sz w:val="24"/>
          <w:szCs w:val="28"/>
        </w:rPr>
        <w:t>代理人</w:t>
      </w:r>
      <w:r>
        <w:rPr>
          <w:rFonts w:ascii="宋体" w:hAnsi="宋体" w:cs="微软雅黑"/>
          <w:spacing w:val="2"/>
          <w:kern w:val="0"/>
          <w:sz w:val="24"/>
          <w:szCs w:val="28"/>
        </w:rPr>
        <w:t>：</w:t>
      </w:r>
      <w:r>
        <w:rPr>
          <w:rFonts w:ascii="宋体" w:hAnsi="宋体" w:cs="微软雅黑"/>
          <w:spacing w:val="57"/>
          <w:kern w:val="0"/>
          <w:sz w:val="24"/>
          <w:szCs w:val="28"/>
          <w:u w:val="single"/>
        </w:rPr>
        <w:t xml:space="preserve"> </w:t>
      </w:r>
      <w:r>
        <w:rPr>
          <w:rFonts w:ascii="宋体" w:hAnsi="宋体" w:cs="微软雅黑"/>
          <w:kern w:val="0"/>
          <w:sz w:val="24"/>
          <w:szCs w:val="28"/>
          <w:u w:val="single"/>
        </w:rPr>
        <w:tab/>
      </w:r>
      <w:r>
        <w:rPr>
          <w:rFonts w:ascii="宋体" w:hAnsi="宋体" w:cs="微软雅黑"/>
          <w:kern w:val="0"/>
          <w:sz w:val="24"/>
          <w:szCs w:val="28"/>
        </w:rPr>
        <w:t>(</w:t>
      </w:r>
      <w:r>
        <w:rPr>
          <w:rFonts w:ascii="宋体" w:hAnsi="宋体" w:cs="微软雅黑"/>
          <w:spacing w:val="-3"/>
          <w:kern w:val="0"/>
          <w:sz w:val="24"/>
          <w:szCs w:val="28"/>
        </w:rPr>
        <w:t>签</w:t>
      </w:r>
      <w:r>
        <w:rPr>
          <w:rFonts w:ascii="宋体" w:hAnsi="宋体" w:cs="微软雅黑"/>
          <w:kern w:val="0"/>
          <w:sz w:val="24"/>
          <w:szCs w:val="28"/>
        </w:rPr>
        <w:t>字</w:t>
      </w:r>
      <w:r>
        <w:rPr>
          <w:rFonts w:hint="eastAsia" w:ascii="宋体" w:hAnsi="宋体" w:cs="微软雅黑"/>
          <w:kern w:val="0"/>
          <w:sz w:val="24"/>
          <w:szCs w:val="28"/>
        </w:rPr>
        <w:t>或盖章</w:t>
      </w:r>
      <w:r>
        <w:rPr>
          <w:rFonts w:ascii="宋体" w:hAnsi="宋体" w:cs="微软雅黑"/>
          <w:kern w:val="0"/>
          <w:sz w:val="24"/>
          <w:szCs w:val="28"/>
        </w:rPr>
        <w:t>)</w:t>
      </w:r>
    </w:p>
    <w:p>
      <w:pPr>
        <w:autoSpaceDE w:val="0"/>
        <w:autoSpaceDN w:val="0"/>
        <w:adjustRightInd w:val="0"/>
        <w:spacing w:line="560" w:lineRule="exact"/>
        <w:jc w:val="left"/>
        <w:rPr>
          <w:rFonts w:cs="微软雅黑"/>
          <w:kern w:val="0"/>
          <w:sz w:val="13"/>
          <w:szCs w:val="13"/>
        </w:rPr>
      </w:pPr>
    </w:p>
    <w:p>
      <w:pPr>
        <w:tabs>
          <w:tab w:val="left" w:pos="3600"/>
          <w:tab w:val="left" w:pos="4620"/>
          <w:tab w:val="left" w:pos="5520"/>
        </w:tabs>
        <w:autoSpaceDE w:val="0"/>
        <w:autoSpaceDN w:val="0"/>
        <w:adjustRightInd w:val="0"/>
        <w:spacing w:line="560" w:lineRule="exact"/>
        <w:ind w:right="-20" w:firstLine="2280" w:firstLineChars="950"/>
        <w:jc w:val="left"/>
        <w:rPr>
          <w:rFonts w:cs="微软雅黑"/>
          <w:kern w:val="0"/>
          <w:sz w:val="24"/>
          <w:szCs w:val="28"/>
        </w:rPr>
      </w:pPr>
      <w:r>
        <w:rPr>
          <w:rFonts w:cs="微软雅黑"/>
          <w:kern w:val="0"/>
          <w:sz w:val="24"/>
          <w:szCs w:val="28"/>
          <w:u w:val="single"/>
        </w:rPr>
        <w:tab/>
      </w:r>
      <w:r>
        <w:rPr>
          <w:rFonts w:cs="微软雅黑"/>
          <w:spacing w:val="2"/>
          <w:kern w:val="0"/>
          <w:sz w:val="24"/>
          <w:szCs w:val="28"/>
        </w:rPr>
        <w:t>年</w:t>
      </w:r>
      <w:r>
        <w:rPr>
          <w:rFonts w:cs="微软雅黑"/>
          <w:spacing w:val="57"/>
          <w:kern w:val="0"/>
          <w:sz w:val="24"/>
          <w:szCs w:val="28"/>
          <w:u w:val="single"/>
        </w:rPr>
        <w:t xml:space="preserve"> </w:t>
      </w:r>
      <w:r>
        <w:rPr>
          <w:rFonts w:cs="微软雅黑"/>
          <w:kern w:val="0"/>
          <w:sz w:val="24"/>
          <w:szCs w:val="28"/>
          <w:u w:val="single"/>
        </w:rPr>
        <w:tab/>
      </w:r>
      <w:r>
        <w:rPr>
          <w:rFonts w:cs="微软雅黑"/>
          <w:spacing w:val="2"/>
          <w:kern w:val="0"/>
          <w:sz w:val="24"/>
          <w:szCs w:val="28"/>
        </w:rPr>
        <w:t>月</w:t>
      </w:r>
      <w:r>
        <w:rPr>
          <w:rFonts w:cs="微软雅黑"/>
          <w:kern w:val="0"/>
          <w:sz w:val="24"/>
          <w:szCs w:val="28"/>
          <w:u w:val="single"/>
        </w:rPr>
        <w:tab/>
      </w:r>
      <w:r>
        <w:rPr>
          <w:rFonts w:cs="微软雅黑"/>
          <w:kern w:val="0"/>
          <w:sz w:val="24"/>
          <w:szCs w:val="28"/>
          <w:u w:val="single"/>
        </w:rPr>
        <w:t xml:space="preserve">     </w:t>
      </w:r>
      <w:r>
        <w:rPr>
          <w:rFonts w:cs="微软雅黑"/>
          <w:kern w:val="0"/>
          <w:sz w:val="24"/>
          <w:szCs w:val="28"/>
        </w:rPr>
        <w:t>日</w:t>
      </w:r>
    </w:p>
    <w:p>
      <w:pPr>
        <w:tabs>
          <w:tab w:val="left" w:pos="3600"/>
          <w:tab w:val="left" w:pos="4620"/>
          <w:tab w:val="left" w:pos="5640"/>
        </w:tabs>
        <w:autoSpaceDE w:val="0"/>
        <w:autoSpaceDN w:val="0"/>
        <w:adjustRightInd w:val="0"/>
        <w:spacing w:line="560" w:lineRule="exact"/>
        <w:ind w:left="2877" w:right="-20" w:firstLine="480" w:firstLineChars="200"/>
        <w:jc w:val="left"/>
        <w:rPr>
          <w:rFonts w:cs="微软雅黑"/>
          <w:kern w:val="0"/>
          <w:sz w:val="24"/>
          <w:szCs w:val="28"/>
        </w:rPr>
        <w:sectPr>
          <w:footerReference r:id="rId8" w:type="default"/>
          <w:pgSz w:w="11907" w:h="16840"/>
          <w:pgMar w:top="1134" w:right="1134" w:bottom="1134" w:left="1134" w:header="567" w:footer="567" w:gutter="0"/>
          <w:cols w:space="720" w:num="1"/>
        </w:sectPr>
      </w:pPr>
    </w:p>
    <w:p>
      <w:pPr>
        <w:autoSpaceDE w:val="0"/>
        <w:autoSpaceDN w:val="0"/>
        <w:adjustRightInd w:val="0"/>
        <w:spacing w:line="560" w:lineRule="exact"/>
        <w:jc w:val="center"/>
        <w:rPr>
          <w:rFonts w:cs="微软雅黑"/>
          <w:b/>
          <w:kern w:val="0"/>
          <w:sz w:val="36"/>
          <w:szCs w:val="36"/>
        </w:rPr>
      </w:pPr>
      <w:r>
        <w:rPr>
          <w:rFonts w:cs="微软雅黑"/>
          <w:b/>
          <w:kern w:val="0"/>
          <w:sz w:val="36"/>
          <w:szCs w:val="36"/>
        </w:rPr>
        <w:t>目 录</w:t>
      </w:r>
    </w:p>
    <w:p>
      <w:pPr>
        <w:pStyle w:val="14"/>
        <w:numPr>
          <w:ilvl w:val="0"/>
          <w:numId w:val="9"/>
        </w:numPr>
        <w:tabs>
          <w:tab w:val="left" w:pos="360"/>
        </w:tabs>
        <w:autoSpaceDE w:val="0"/>
        <w:autoSpaceDN w:val="0"/>
        <w:adjustRightInd w:val="0"/>
        <w:spacing w:line="560" w:lineRule="exact"/>
        <w:ind w:right="4013" w:firstLineChars="0"/>
        <w:rPr>
          <w:rFonts w:ascii="微软雅黑" w:hAnsi="Times New Roman" w:cs="微软雅黑"/>
          <w:spacing w:val="-2"/>
          <w:kern w:val="0"/>
          <w:sz w:val="22"/>
        </w:rPr>
      </w:pPr>
      <w:r>
        <w:rPr>
          <w:rFonts w:ascii="微软雅黑" w:hAnsi="Times New Roman" w:cs="微软雅黑"/>
          <w:spacing w:val="-2"/>
          <w:kern w:val="0"/>
          <w:sz w:val="22"/>
        </w:rPr>
        <w:t>投标函；</w:t>
      </w:r>
    </w:p>
    <w:p>
      <w:pPr>
        <w:pStyle w:val="14"/>
        <w:tabs>
          <w:tab w:val="left" w:pos="360"/>
        </w:tabs>
        <w:autoSpaceDE w:val="0"/>
        <w:autoSpaceDN w:val="0"/>
        <w:adjustRightInd w:val="0"/>
        <w:spacing w:line="560" w:lineRule="exact"/>
        <w:ind w:firstLine="0" w:firstLineChars="0"/>
        <w:rPr>
          <w:rFonts w:ascii="微软雅黑" w:hAnsi="Times New Roman" w:cs="微软雅黑"/>
          <w:spacing w:val="-2"/>
          <w:kern w:val="0"/>
          <w:sz w:val="22"/>
        </w:rPr>
      </w:pPr>
      <w:r>
        <w:rPr>
          <w:rFonts w:hint="eastAsia" w:ascii="宋体" w:hAnsi="宋体" w:cs="宋体"/>
          <w:kern w:val="0"/>
          <w:sz w:val="22"/>
        </w:rPr>
        <w:t>二、法定代表人身份证明、</w:t>
      </w:r>
      <w:r>
        <w:rPr>
          <w:rFonts w:ascii="宋体" w:hAnsi="宋体" w:cs="宋体"/>
          <w:kern w:val="0"/>
          <w:sz w:val="22"/>
        </w:rPr>
        <w:t>法定代表人授权委托书(投标文件</w:t>
      </w:r>
      <w:r>
        <w:rPr>
          <w:rFonts w:hint="eastAsia" w:ascii="宋体" w:hAnsi="宋体" w:cs="宋体"/>
          <w:kern w:val="0"/>
          <w:sz w:val="22"/>
        </w:rPr>
        <w:t>由</w:t>
      </w:r>
      <w:r>
        <w:rPr>
          <w:rFonts w:ascii="宋体" w:hAnsi="宋体" w:cs="宋体"/>
          <w:kern w:val="0"/>
          <w:sz w:val="22"/>
        </w:rPr>
        <w:t>委托代理人签字</w:t>
      </w:r>
      <w:r>
        <w:rPr>
          <w:rFonts w:hint="eastAsia" w:ascii="宋体" w:hAnsi="宋体" w:cs="宋体"/>
          <w:kern w:val="0"/>
          <w:sz w:val="22"/>
        </w:rPr>
        <w:t>时</w:t>
      </w:r>
      <w:r>
        <w:rPr>
          <w:rFonts w:ascii="宋体" w:hAnsi="宋体" w:cs="宋体"/>
          <w:kern w:val="0"/>
          <w:sz w:val="22"/>
        </w:rPr>
        <w:t>提供</w:t>
      </w:r>
      <w:r>
        <w:rPr>
          <w:rFonts w:hint="eastAsia" w:ascii="宋体" w:hAnsi="宋体" w:cs="宋体"/>
          <w:kern w:val="0"/>
          <w:sz w:val="22"/>
        </w:rPr>
        <w:t>)</w:t>
      </w:r>
      <w:r>
        <w:rPr>
          <w:rFonts w:ascii="微软雅黑" w:hAnsi="Times New Roman" w:cs="微软雅黑"/>
          <w:spacing w:val="-2"/>
          <w:kern w:val="0"/>
          <w:sz w:val="22"/>
        </w:rPr>
        <w:t>；</w:t>
      </w:r>
    </w:p>
    <w:p>
      <w:pPr>
        <w:pStyle w:val="14"/>
        <w:tabs>
          <w:tab w:val="left" w:pos="360"/>
        </w:tabs>
        <w:autoSpaceDE w:val="0"/>
        <w:autoSpaceDN w:val="0"/>
        <w:adjustRightInd w:val="0"/>
        <w:spacing w:line="560" w:lineRule="exact"/>
        <w:ind w:right="4013" w:firstLine="0" w:firstLineChars="0"/>
        <w:rPr>
          <w:rFonts w:ascii="微软雅黑" w:hAnsi="Times New Roman" w:cs="微软雅黑"/>
          <w:spacing w:val="-2"/>
          <w:kern w:val="0"/>
          <w:sz w:val="22"/>
        </w:rPr>
      </w:pPr>
      <w:r>
        <w:rPr>
          <w:rFonts w:hint="eastAsia" w:ascii="微软雅黑" w:hAnsi="Times New Roman" w:cs="微软雅黑"/>
          <w:spacing w:val="-2"/>
          <w:kern w:val="0"/>
          <w:sz w:val="22"/>
        </w:rPr>
        <w:t>三、</w:t>
      </w:r>
      <w:r>
        <w:rPr>
          <w:rFonts w:ascii="微软雅黑" w:hAnsi="Times New Roman" w:cs="微软雅黑"/>
          <w:spacing w:val="-2"/>
          <w:kern w:val="0"/>
          <w:sz w:val="22"/>
        </w:rPr>
        <w:t>已标价工程量清单；</w:t>
      </w:r>
    </w:p>
    <w:p>
      <w:pPr>
        <w:pStyle w:val="14"/>
        <w:tabs>
          <w:tab w:val="left" w:pos="360"/>
        </w:tabs>
        <w:autoSpaceDE w:val="0"/>
        <w:autoSpaceDN w:val="0"/>
        <w:adjustRightInd w:val="0"/>
        <w:spacing w:line="560" w:lineRule="exact"/>
        <w:ind w:right="4013" w:firstLine="0" w:firstLineChars="0"/>
        <w:rPr>
          <w:rFonts w:ascii="微软雅黑" w:hAnsi="Times New Roman" w:cs="微软雅黑"/>
          <w:spacing w:val="-2"/>
          <w:kern w:val="0"/>
          <w:sz w:val="22"/>
        </w:rPr>
      </w:pPr>
      <w:r>
        <w:rPr>
          <w:rFonts w:hint="eastAsia" w:ascii="微软雅黑" w:hAnsi="Times New Roman" w:cs="微软雅黑"/>
          <w:spacing w:val="-2"/>
          <w:kern w:val="0"/>
          <w:sz w:val="22"/>
        </w:rPr>
        <w:t>四、</w:t>
      </w:r>
      <w:r>
        <w:rPr>
          <w:rFonts w:ascii="微软雅黑" w:hAnsi="Times New Roman" w:cs="微软雅黑"/>
          <w:spacing w:val="-2"/>
          <w:kern w:val="0"/>
          <w:sz w:val="22"/>
        </w:rPr>
        <w:t>投标人</w:t>
      </w:r>
      <w:r>
        <w:rPr>
          <w:rFonts w:hint="eastAsia" w:ascii="微软雅黑" w:hAnsi="Times New Roman" w:cs="微软雅黑"/>
          <w:spacing w:val="-2"/>
          <w:kern w:val="0"/>
          <w:sz w:val="22"/>
        </w:rPr>
        <w:t>认为需要提供的</w:t>
      </w:r>
      <w:r>
        <w:rPr>
          <w:rFonts w:ascii="微软雅黑" w:hAnsi="Times New Roman" w:cs="微软雅黑"/>
          <w:spacing w:val="-2"/>
          <w:kern w:val="0"/>
          <w:sz w:val="22"/>
        </w:rPr>
        <w:t>其他材料。</w:t>
      </w:r>
    </w:p>
    <w:p>
      <w:pPr>
        <w:pStyle w:val="14"/>
        <w:tabs>
          <w:tab w:val="left" w:pos="360"/>
        </w:tabs>
        <w:autoSpaceDE w:val="0"/>
        <w:autoSpaceDN w:val="0"/>
        <w:adjustRightInd w:val="0"/>
        <w:spacing w:line="560" w:lineRule="exact"/>
        <w:ind w:right="4013" w:firstLine="0" w:firstLineChars="0"/>
        <w:rPr>
          <w:rFonts w:ascii="微软雅黑" w:hAnsi="Times New Roman" w:cs="微软雅黑"/>
          <w:b/>
          <w:bCs/>
          <w:spacing w:val="-2"/>
          <w:kern w:val="0"/>
          <w:sz w:val="22"/>
        </w:rPr>
      </w:pPr>
      <w:r>
        <w:rPr>
          <w:rFonts w:hint="eastAsia" w:ascii="微软雅黑" w:hAnsi="Times New Roman" w:cs="微软雅黑"/>
          <w:b/>
          <w:bCs/>
          <w:spacing w:val="-2"/>
          <w:kern w:val="0"/>
          <w:sz w:val="22"/>
        </w:rPr>
        <w:t>注：未提供格式的由投标人自行拟定格式。</w:t>
      </w:r>
    </w:p>
    <w:p>
      <w:pPr>
        <w:autoSpaceDE w:val="0"/>
        <w:autoSpaceDN w:val="0"/>
        <w:adjustRightInd w:val="0"/>
        <w:snapToGrid w:val="0"/>
        <w:spacing w:line="560" w:lineRule="exact"/>
        <w:ind w:firstLine="723" w:firstLineChars="200"/>
        <w:rPr>
          <w:rFonts w:ascii="宋体" w:hAnsi="宋体" w:cs="微软雅黑"/>
          <w:b/>
          <w:kern w:val="0"/>
          <w:sz w:val="36"/>
          <w:szCs w:val="36"/>
        </w:rPr>
      </w:pPr>
      <w:r>
        <w:rPr>
          <w:rFonts w:ascii="宋体" w:hAnsi="宋体" w:cs="微软雅黑"/>
          <w:b/>
          <w:kern w:val="0"/>
          <w:sz w:val="36"/>
          <w:szCs w:val="36"/>
        </w:rPr>
        <w:br w:type="page"/>
      </w:r>
    </w:p>
    <w:p>
      <w:pPr>
        <w:autoSpaceDE w:val="0"/>
        <w:autoSpaceDN w:val="0"/>
        <w:adjustRightInd w:val="0"/>
        <w:spacing w:line="560" w:lineRule="exact"/>
        <w:jc w:val="center"/>
        <w:rPr>
          <w:rFonts w:cs="微软雅黑"/>
          <w:b/>
          <w:kern w:val="0"/>
          <w:sz w:val="36"/>
          <w:szCs w:val="36"/>
        </w:rPr>
      </w:pPr>
      <w:r>
        <w:rPr>
          <w:rFonts w:cs="微软雅黑"/>
          <w:b/>
          <w:kern w:val="0"/>
          <w:sz w:val="36"/>
          <w:szCs w:val="36"/>
        </w:rPr>
        <w:t>一、投标函</w:t>
      </w:r>
    </w:p>
    <w:p>
      <w:pPr>
        <w:snapToGrid w:val="0"/>
        <w:spacing w:line="360" w:lineRule="exact"/>
        <w:rPr>
          <w:rFonts w:cs="宋体"/>
          <w:b/>
          <w:sz w:val="22"/>
        </w:rPr>
      </w:pPr>
      <w:r>
        <w:rPr>
          <w:rFonts w:cs="宋体"/>
          <w:b/>
          <w:sz w:val="22"/>
          <w:u w:val="single"/>
        </w:rPr>
        <w:t xml:space="preserve">                    </w:t>
      </w:r>
      <w:r>
        <w:rPr>
          <w:rFonts w:cs="宋体"/>
          <w:b/>
          <w:sz w:val="22"/>
        </w:rPr>
        <w:t>(招标人)：</w:t>
      </w:r>
    </w:p>
    <w:p>
      <w:pPr>
        <w:snapToGrid w:val="0"/>
        <w:spacing w:line="360" w:lineRule="exact"/>
        <w:ind w:firstLine="440" w:firstLineChars="200"/>
        <w:rPr>
          <w:rFonts w:cs="宋体"/>
          <w:b/>
          <w:sz w:val="22"/>
        </w:rPr>
      </w:pPr>
      <w:r>
        <w:rPr>
          <w:rFonts w:cs="宋体"/>
          <w:sz w:val="22"/>
        </w:rPr>
        <w:t>我方已全面阅读和研究了</w:t>
      </w:r>
      <w:r>
        <w:rPr>
          <w:rFonts w:cs="宋体"/>
          <w:b/>
          <w:bCs/>
          <w:sz w:val="22"/>
          <w:u w:val="single"/>
        </w:rPr>
        <w:t xml:space="preserve">                           </w:t>
      </w:r>
      <w:r>
        <w:rPr>
          <w:rFonts w:cs="宋体"/>
          <w:b/>
          <w:bCs/>
          <w:sz w:val="22"/>
        </w:rPr>
        <w:t>项目</w:t>
      </w:r>
      <w:r>
        <w:rPr>
          <w:rFonts w:cs="宋体"/>
          <w:sz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人民币(大写)</w:t>
      </w:r>
      <w:r>
        <w:rPr>
          <w:rFonts w:cs="宋体"/>
          <w:sz w:val="22"/>
          <w:u w:val="single"/>
        </w:rPr>
        <w:t xml:space="preserve">       </w:t>
      </w:r>
      <w:r>
        <w:rPr>
          <w:rFonts w:hint="eastAsia" w:cs="宋体"/>
          <w:sz w:val="22"/>
          <w:u w:val="single"/>
        </w:rPr>
        <w:t xml:space="preserve">           </w:t>
      </w:r>
      <w:r>
        <w:rPr>
          <w:rFonts w:cs="宋体"/>
          <w:kern w:val="0"/>
          <w:sz w:val="22"/>
        </w:rPr>
        <w:t>(</w:t>
      </w:r>
      <w:r>
        <w:rPr>
          <w:rFonts w:cs="宋体"/>
          <w:spacing w:val="-61"/>
          <w:kern w:val="0"/>
          <w:sz w:val="22"/>
        </w:rPr>
        <w:t>¥</w:t>
      </w:r>
      <w:r>
        <w:rPr>
          <w:rFonts w:cs="宋体"/>
          <w:spacing w:val="43"/>
          <w:kern w:val="0"/>
          <w:sz w:val="22"/>
          <w:u w:val="single"/>
        </w:rPr>
        <w:t xml:space="preserve">    </w:t>
      </w:r>
      <w:r>
        <w:rPr>
          <w:rFonts w:hint="eastAsia" w:cs="宋体"/>
          <w:spacing w:val="43"/>
          <w:kern w:val="0"/>
          <w:sz w:val="22"/>
          <w:u w:val="single"/>
        </w:rPr>
        <w:t xml:space="preserve">         </w:t>
      </w:r>
      <w:r>
        <w:rPr>
          <w:rFonts w:cs="宋体"/>
          <w:spacing w:val="43"/>
          <w:kern w:val="0"/>
          <w:sz w:val="22"/>
          <w:u w:val="single"/>
        </w:rPr>
        <w:t xml:space="preserve">   </w:t>
      </w:r>
      <w:r>
        <w:rPr>
          <w:rFonts w:cs="宋体"/>
          <w:kern w:val="0"/>
          <w:sz w:val="22"/>
          <w:u w:val="single"/>
        </w:rPr>
        <w:tab/>
      </w:r>
      <w:r>
        <w:rPr>
          <w:rFonts w:cs="宋体"/>
          <w:kern w:val="0"/>
          <w:sz w:val="22"/>
          <w:u w:val="single"/>
        </w:rPr>
        <w:tab/>
      </w:r>
      <w:r>
        <w:rPr>
          <w:rFonts w:cs="宋体"/>
          <w:spacing w:val="-12"/>
          <w:kern w:val="0"/>
          <w:sz w:val="22"/>
        </w:rPr>
        <w:t>)</w:t>
      </w:r>
      <w:r>
        <w:rPr>
          <w:rFonts w:cs="宋体"/>
          <w:kern w:val="0"/>
          <w:sz w:val="22"/>
        </w:rPr>
        <w:t>；</w:t>
      </w:r>
      <w:r>
        <w:rPr>
          <w:rFonts w:cs="宋体"/>
          <w:sz w:val="22"/>
        </w:rPr>
        <w:t>项目负责人为：</w:t>
      </w:r>
      <w:r>
        <w:rPr>
          <w:rFonts w:cs="宋体"/>
          <w:sz w:val="22"/>
          <w:u w:val="single"/>
        </w:rPr>
        <w:t xml:space="preserve">    </w:t>
      </w:r>
      <w:r>
        <w:rPr>
          <w:rFonts w:hint="eastAsia" w:cs="宋体"/>
          <w:sz w:val="22"/>
          <w:u w:val="single"/>
        </w:rPr>
        <w:t xml:space="preserve">      </w:t>
      </w:r>
      <w:r>
        <w:rPr>
          <w:rFonts w:cs="宋体"/>
          <w:sz w:val="22"/>
          <w:u w:val="single"/>
        </w:rPr>
        <w:t xml:space="preserve">        </w:t>
      </w:r>
      <w:r>
        <w:rPr>
          <w:rFonts w:cs="宋体"/>
          <w:sz w:val="22"/>
        </w:rPr>
        <w:t>(身份证号码：</w:t>
      </w:r>
      <w:r>
        <w:rPr>
          <w:rFonts w:cs="宋体"/>
          <w:sz w:val="22"/>
          <w:u w:val="single"/>
        </w:rPr>
        <w:t xml:space="preserve">             </w:t>
      </w:r>
      <w:r>
        <w:rPr>
          <w:rFonts w:hint="eastAsia" w:cs="宋体"/>
          <w:sz w:val="22"/>
        </w:rPr>
        <w:t>，电话号码：</w:t>
      </w:r>
      <w:r>
        <w:rPr>
          <w:rFonts w:hint="eastAsia" w:cs="宋体"/>
          <w:sz w:val="22"/>
          <w:u w:val="single"/>
        </w:rPr>
        <w:t xml:space="preserve">                          </w:t>
      </w:r>
      <w:r>
        <w:rPr>
          <w:rFonts w:cs="宋体"/>
          <w:sz w:val="22"/>
        </w:rPr>
        <w:t>)</w:t>
      </w:r>
      <w:r>
        <w:rPr>
          <w:rFonts w:hint="eastAsia" w:cs="宋体"/>
          <w:sz w:val="22"/>
        </w:rPr>
        <w:t>；</w:t>
      </w:r>
      <w:r>
        <w:rPr>
          <w:rFonts w:cs="宋体"/>
          <w:sz w:val="22"/>
        </w:rPr>
        <w:t>工期</w:t>
      </w:r>
      <w:r>
        <w:rPr>
          <w:rFonts w:cs="宋体"/>
          <w:sz w:val="22"/>
          <w:u w:val="single"/>
        </w:rPr>
        <w:t xml:space="preserve">  </w:t>
      </w:r>
      <w:r>
        <w:rPr>
          <w:rFonts w:hint="eastAsia" w:cs="宋体"/>
          <w:b/>
          <w:sz w:val="22"/>
          <w:u w:val="single"/>
        </w:rPr>
        <w:t xml:space="preserve">                                   </w:t>
      </w:r>
      <w:r>
        <w:rPr>
          <w:rFonts w:hint="eastAsia" w:ascii="宋体" w:hAnsi="宋体"/>
          <w:sz w:val="22"/>
        </w:rPr>
        <w:t>日历天</w:t>
      </w:r>
      <w:r>
        <w:rPr>
          <w:rFonts w:hint="eastAsia" w:cs="宋体"/>
          <w:b/>
          <w:sz w:val="22"/>
        </w:rPr>
        <w:t>；</w:t>
      </w:r>
      <w:r>
        <w:rPr>
          <w:rFonts w:hint="eastAsia" w:ascii="宋体" w:hAnsi="宋体" w:cs="宋体"/>
          <w:sz w:val="22"/>
        </w:rPr>
        <w:t>工程质量达到一次验收合格</w:t>
      </w:r>
      <w:r>
        <w:rPr>
          <w:rFonts w:cs="宋体"/>
          <w:sz w:val="22"/>
        </w:rPr>
        <w:t>。</w:t>
      </w:r>
    </w:p>
    <w:p>
      <w:pPr>
        <w:snapToGrid w:val="0"/>
        <w:spacing w:line="360" w:lineRule="exact"/>
        <w:ind w:firstLine="440" w:firstLineChars="200"/>
        <w:rPr>
          <w:rFonts w:cs="宋体"/>
          <w:b/>
          <w:sz w:val="22"/>
        </w:rPr>
      </w:pPr>
      <w:r>
        <w:rPr>
          <w:rFonts w:ascii="宋体" w:hAnsi="宋体"/>
          <w:sz w:val="22"/>
        </w:rPr>
        <w:t>1</w:t>
      </w:r>
      <w:r>
        <w:rPr>
          <w:rFonts w:hint="eastAsia" w:ascii="宋体" w:hAnsi="宋体"/>
          <w:sz w:val="22"/>
        </w:rPr>
        <w:t>.根据招标人要求，做出如下承诺：</w:t>
      </w:r>
    </w:p>
    <w:p>
      <w:pPr>
        <w:snapToGrid w:val="0"/>
        <w:spacing w:line="360" w:lineRule="exact"/>
        <w:ind w:firstLine="440" w:firstLineChars="200"/>
        <w:rPr>
          <w:rFonts w:ascii="宋体" w:hAnsi="宋体" w:cs="Arial"/>
          <w:b/>
          <w:sz w:val="22"/>
        </w:rPr>
      </w:pPr>
      <w:r>
        <w:rPr>
          <w:rFonts w:ascii="宋体" w:hAnsi="宋体"/>
          <w:sz w:val="22"/>
        </w:rPr>
        <w:t>(1</w:t>
      </w:r>
      <w:r>
        <w:rPr>
          <w:rFonts w:hint="eastAsia" w:ascii="宋体" w:hAnsi="宋体"/>
          <w:sz w:val="22"/>
        </w:rPr>
        <w:t>)</w:t>
      </w:r>
      <w:r>
        <w:rPr>
          <w:rFonts w:hint="eastAsia" w:ascii="宋体" w:hAnsi="宋体" w:cs="Arial"/>
          <w:b/>
          <w:sz w:val="22"/>
        </w:rPr>
        <w:t>本工程计日工单价为：</w:t>
      </w:r>
      <w:r>
        <w:rPr>
          <w:rFonts w:hint="eastAsia" w:ascii="宋体" w:hAnsi="宋体" w:cs="Arial"/>
          <w:b/>
          <w:sz w:val="22"/>
          <w:u w:val="single"/>
        </w:rPr>
        <w:t xml:space="preserve">      </w:t>
      </w:r>
      <w:r>
        <w:rPr>
          <w:rFonts w:hint="eastAsia" w:ascii="宋体" w:hAnsi="宋体" w:cs="Arial"/>
          <w:b/>
          <w:sz w:val="22"/>
        </w:rPr>
        <w:t>元/工日；</w:t>
      </w:r>
    </w:p>
    <w:p>
      <w:pPr>
        <w:snapToGrid w:val="0"/>
        <w:spacing w:line="360" w:lineRule="exact"/>
        <w:ind w:firstLine="440" w:firstLineChars="200"/>
        <w:rPr>
          <w:rFonts w:cs="宋体"/>
          <w:b/>
          <w:sz w:val="22"/>
        </w:rPr>
      </w:pPr>
      <w:r>
        <w:rPr>
          <w:rFonts w:ascii="宋体" w:hAnsi="宋体"/>
          <w:sz w:val="22"/>
        </w:rPr>
        <w:t>(2</w:t>
      </w:r>
      <w:r>
        <w:rPr>
          <w:rFonts w:hint="eastAsia" w:ascii="宋体" w:hAnsi="宋体"/>
          <w:sz w:val="22"/>
        </w:rPr>
        <w:t>)</w:t>
      </w:r>
      <w:r>
        <w:rPr>
          <w:rFonts w:hint="eastAsia" w:ascii="宋体" w:hAnsi="宋体"/>
          <w:b/>
          <w:bCs/>
          <w:sz w:val="22"/>
        </w:rPr>
        <w:t>我方承诺</w:t>
      </w:r>
      <w:r>
        <w:rPr>
          <w:rFonts w:ascii="宋体" w:hAnsi="宋体"/>
          <w:b/>
          <w:bCs/>
          <w:spacing w:val="-1"/>
          <w:sz w:val="22"/>
        </w:rPr>
        <w:t>可提供增值税</w:t>
      </w:r>
      <w:r>
        <w:rPr>
          <w:rFonts w:hint="eastAsia" w:ascii="宋体" w:hAnsi="宋体"/>
          <w:b/>
          <w:bCs/>
          <w:spacing w:val="-1"/>
          <w:sz w:val="22"/>
        </w:rPr>
        <w:t>率为</w:t>
      </w:r>
      <w:r>
        <w:rPr>
          <w:rFonts w:hint="eastAsia" w:ascii="宋体" w:hAnsi="宋体"/>
          <w:b/>
          <w:bCs/>
          <w:spacing w:val="-1"/>
          <w:sz w:val="22"/>
          <w:u w:val="single"/>
        </w:rPr>
        <w:t xml:space="preserve"> </w:t>
      </w:r>
      <w:r>
        <w:rPr>
          <w:rFonts w:ascii="宋体" w:hAnsi="宋体"/>
          <w:b/>
          <w:bCs/>
          <w:spacing w:val="-1"/>
          <w:sz w:val="22"/>
          <w:u w:val="single"/>
        </w:rPr>
        <w:t xml:space="preserve">   </w:t>
      </w:r>
      <w:r>
        <w:rPr>
          <w:rFonts w:ascii="宋体" w:hAnsi="宋体"/>
          <w:b/>
          <w:bCs/>
          <w:spacing w:val="-1"/>
          <w:sz w:val="22"/>
        </w:rPr>
        <w:t>%</w:t>
      </w:r>
      <w:r>
        <w:rPr>
          <w:rFonts w:hint="eastAsia" w:ascii="宋体" w:hAnsi="宋体"/>
          <w:b/>
          <w:bCs/>
          <w:spacing w:val="-1"/>
          <w:sz w:val="22"/>
        </w:rPr>
        <w:t>的增值税</w:t>
      </w:r>
      <w:r>
        <w:rPr>
          <w:rFonts w:ascii="宋体" w:hAnsi="宋体"/>
          <w:b/>
          <w:bCs/>
          <w:spacing w:val="-1"/>
          <w:sz w:val="22"/>
        </w:rPr>
        <w:t>专用发票</w:t>
      </w:r>
      <w:r>
        <w:rPr>
          <w:rFonts w:hint="eastAsia" w:ascii="宋体" w:hAnsi="宋体"/>
          <w:b/>
          <w:bCs/>
          <w:sz w:val="22"/>
        </w:rPr>
        <w:t>；</w:t>
      </w:r>
    </w:p>
    <w:p>
      <w:pPr>
        <w:snapToGrid w:val="0"/>
        <w:spacing w:line="360" w:lineRule="exact"/>
        <w:ind w:firstLine="440" w:firstLineChars="200"/>
        <w:rPr>
          <w:rFonts w:cs="宋体"/>
          <w:b/>
          <w:sz w:val="22"/>
        </w:rPr>
      </w:pPr>
      <w:r>
        <w:rPr>
          <w:rFonts w:ascii="宋体" w:hAnsi="宋体"/>
          <w:sz w:val="22"/>
        </w:rPr>
        <w:t>(</w:t>
      </w:r>
      <w:r>
        <w:rPr>
          <w:rFonts w:hint="eastAsia" w:ascii="宋体" w:hAnsi="宋体"/>
          <w:sz w:val="22"/>
        </w:rPr>
        <w:t>3)如我方中标，在收到中标通知书后，在中标通知书规定的期限内与你方签订合同；</w:t>
      </w:r>
    </w:p>
    <w:p>
      <w:pPr>
        <w:snapToGrid w:val="0"/>
        <w:spacing w:line="360" w:lineRule="exact"/>
        <w:ind w:firstLine="440" w:firstLineChars="200"/>
        <w:rPr>
          <w:kern w:val="0"/>
          <w:sz w:val="22"/>
        </w:rPr>
      </w:pPr>
      <w:r>
        <w:rPr>
          <w:rFonts w:hint="eastAsia" w:ascii="宋体" w:hAnsi="宋体"/>
          <w:sz w:val="22"/>
        </w:rPr>
        <w:t>(4)</w:t>
      </w:r>
      <w:r>
        <w:rPr>
          <w:kern w:val="0"/>
          <w:sz w:val="22"/>
        </w:rPr>
        <w:t>在招投标过程中，廉洁自律并对所获悉的招标人的相关信息予以保密</w:t>
      </w:r>
      <w:r>
        <w:rPr>
          <w:rFonts w:hint="eastAsia"/>
          <w:kern w:val="0"/>
          <w:sz w:val="22"/>
        </w:rPr>
        <w:t>；</w:t>
      </w:r>
    </w:p>
    <w:p>
      <w:pPr>
        <w:snapToGrid w:val="0"/>
        <w:spacing w:line="360" w:lineRule="exact"/>
        <w:ind w:firstLine="440" w:firstLineChars="200"/>
        <w:rPr>
          <w:rFonts w:ascii="宋体" w:hAnsi="宋体" w:cs="宋体"/>
          <w:sz w:val="22"/>
        </w:rPr>
      </w:pPr>
      <w:r>
        <w:rPr>
          <w:rFonts w:hint="eastAsia" w:ascii="宋体" w:hAnsi="宋体"/>
          <w:sz w:val="22"/>
        </w:rPr>
        <w:t>(5)</w:t>
      </w:r>
      <w:r>
        <w:rPr>
          <w:rFonts w:ascii="宋体" w:hAnsi="宋体"/>
          <w:sz w:val="22"/>
        </w:rPr>
        <w:t>我方承诺</w:t>
      </w:r>
      <w:r>
        <w:rPr>
          <w:rFonts w:hint="eastAsia" w:ascii="宋体" w:hAnsi="宋体"/>
          <w:sz w:val="22"/>
        </w:rPr>
        <w:t>所递交的投标文件及有关资料内容完整、真实和准确。</w:t>
      </w:r>
    </w:p>
    <w:p>
      <w:pPr>
        <w:snapToGrid w:val="0"/>
        <w:spacing w:line="360" w:lineRule="exact"/>
        <w:ind w:firstLine="440"/>
        <w:rPr>
          <w:rFonts w:cs="宋体"/>
          <w:b/>
          <w:sz w:val="22"/>
        </w:rPr>
      </w:pPr>
      <w:r>
        <w:rPr>
          <w:kern w:val="0"/>
          <w:sz w:val="22"/>
        </w:rPr>
        <w:t>以上承诺如有虚假给招标人造成损失的，愿意依法承担</w:t>
      </w:r>
      <w:r>
        <w:rPr>
          <w:rFonts w:hint="eastAsia"/>
          <w:kern w:val="0"/>
          <w:sz w:val="22"/>
        </w:rPr>
        <w:t>全部</w:t>
      </w:r>
      <w:r>
        <w:rPr>
          <w:kern w:val="0"/>
          <w:sz w:val="22"/>
        </w:rPr>
        <w:t>责任。如已中标，同意招标人取消我公司中标资格的处理。</w:t>
      </w:r>
    </w:p>
    <w:p>
      <w:pPr>
        <w:snapToGrid w:val="0"/>
        <w:spacing w:line="360" w:lineRule="exact"/>
        <w:ind w:firstLine="440" w:firstLineChars="200"/>
        <w:rPr>
          <w:rFonts w:cs="宋体"/>
          <w:sz w:val="22"/>
        </w:rPr>
      </w:pPr>
      <w:r>
        <w:rPr>
          <w:rFonts w:hint="eastAsia" w:ascii="宋体" w:hAnsi="宋体"/>
          <w:sz w:val="22"/>
        </w:rPr>
        <w:t>2.我方已详细审查招标文件包括澄清函和修改文件</w:t>
      </w:r>
      <w:r>
        <w:rPr>
          <w:rFonts w:ascii="宋体" w:hAnsi="宋体"/>
          <w:sz w:val="22"/>
        </w:rPr>
        <w:t>(若有)、所有</w:t>
      </w:r>
      <w:r>
        <w:rPr>
          <w:rFonts w:hint="eastAsia" w:ascii="宋体" w:hAnsi="宋体"/>
          <w:sz w:val="22"/>
        </w:rPr>
        <w:t>已</w:t>
      </w:r>
      <w:r>
        <w:rPr>
          <w:rFonts w:ascii="宋体" w:hAnsi="宋体"/>
          <w:sz w:val="22"/>
        </w:rPr>
        <w:t>提供的资料以及有关附件，我</w:t>
      </w:r>
      <w:r>
        <w:rPr>
          <w:rFonts w:hint="eastAsia" w:ascii="宋体" w:hAnsi="宋体"/>
          <w:sz w:val="22"/>
        </w:rPr>
        <w:t>方</w:t>
      </w:r>
      <w:r>
        <w:rPr>
          <w:rFonts w:ascii="宋体" w:hAnsi="宋体"/>
          <w:sz w:val="22"/>
        </w:rPr>
        <w:t>已完全理解上述文件的全部内容</w:t>
      </w:r>
      <w:r>
        <w:rPr>
          <w:rFonts w:hint="eastAsia" w:ascii="宋体" w:hAnsi="宋体"/>
          <w:sz w:val="22"/>
        </w:rPr>
        <w:t>且无异议</w:t>
      </w:r>
      <w:r>
        <w:rPr>
          <w:rFonts w:ascii="宋体" w:hAnsi="宋体"/>
          <w:sz w:val="22"/>
        </w:rPr>
        <w:t>，并放弃提出任何误解或不明作为抗辩的权利。</w:t>
      </w:r>
    </w:p>
    <w:p>
      <w:pPr>
        <w:snapToGrid w:val="0"/>
        <w:spacing w:line="360" w:lineRule="exact"/>
        <w:ind w:firstLine="440" w:firstLineChars="200"/>
        <w:rPr>
          <w:rFonts w:cs="宋体"/>
          <w:sz w:val="22"/>
        </w:rPr>
      </w:pPr>
      <w:r>
        <w:rPr>
          <w:rFonts w:hint="eastAsia" w:ascii="宋体" w:hAnsi="宋体"/>
          <w:sz w:val="22"/>
        </w:rPr>
        <w:t>3.我方同意按照你方可能提出的要求，提供有关的任何其它数字或资料，并对你方可能不接受最低报价及任何报价表示理解。</w:t>
      </w:r>
    </w:p>
    <w:p>
      <w:pPr>
        <w:snapToGrid w:val="0"/>
        <w:spacing w:line="360" w:lineRule="exact"/>
        <w:ind w:firstLine="440" w:firstLineChars="200"/>
        <w:rPr>
          <w:rFonts w:cs="宋体"/>
          <w:sz w:val="22"/>
        </w:rPr>
      </w:pPr>
      <w:r>
        <w:rPr>
          <w:rFonts w:hint="eastAsia" w:ascii="宋体" w:hAnsi="宋体"/>
          <w:sz w:val="22"/>
        </w:rPr>
        <w:t>4.在合同协议书正式签署生效之前，本投标函连同你方的中标通知书将构成我们双方之间共同遵守的文件，对双方具有约束力。</w:t>
      </w:r>
    </w:p>
    <w:p>
      <w:pPr>
        <w:snapToGrid w:val="0"/>
        <w:spacing w:line="360" w:lineRule="exact"/>
        <w:ind w:firstLine="440" w:firstLineChars="200"/>
        <w:rPr>
          <w:rFonts w:cs="宋体"/>
          <w:sz w:val="22"/>
        </w:rPr>
      </w:pPr>
      <w:r>
        <w:rPr>
          <w:rFonts w:hint="eastAsia" w:ascii="宋体" w:hAnsi="宋体"/>
          <w:sz w:val="22"/>
        </w:rPr>
        <w:t>5.(其他补充说明)</w:t>
      </w:r>
      <w:r>
        <w:rPr>
          <w:rFonts w:ascii="宋体" w:hAnsi="宋体"/>
          <w:sz w:val="22"/>
          <w:u w:val="single"/>
        </w:rPr>
        <w:t xml:space="preserve">                                              </w:t>
      </w:r>
      <w:r>
        <w:rPr>
          <w:rFonts w:hint="eastAsia" w:ascii="宋体" w:hAnsi="宋体"/>
          <w:sz w:val="22"/>
        </w:rPr>
        <w:t>。</w:t>
      </w:r>
    </w:p>
    <w:p>
      <w:pPr>
        <w:snapToGrid w:val="0"/>
        <w:spacing w:line="360" w:lineRule="exact"/>
        <w:ind w:firstLine="3969" w:firstLineChars="1804"/>
        <w:jc w:val="left"/>
        <w:rPr>
          <w:rFonts w:cs="宋体"/>
          <w:sz w:val="22"/>
        </w:rPr>
      </w:pPr>
    </w:p>
    <w:p>
      <w:pPr>
        <w:snapToGrid w:val="0"/>
        <w:spacing w:line="360" w:lineRule="exact"/>
        <w:ind w:firstLine="3969" w:firstLineChars="1804"/>
        <w:jc w:val="left"/>
        <w:rPr>
          <w:rFonts w:cs="宋体"/>
          <w:sz w:val="22"/>
        </w:rPr>
      </w:pPr>
    </w:p>
    <w:p>
      <w:pPr>
        <w:snapToGrid w:val="0"/>
        <w:spacing w:line="360" w:lineRule="exact"/>
        <w:ind w:firstLine="3969" w:firstLineChars="1804"/>
        <w:jc w:val="left"/>
        <w:rPr>
          <w:rFonts w:cs="宋体"/>
          <w:sz w:val="22"/>
        </w:rPr>
      </w:pPr>
      <w:r>
        <w:rPr>
          <w:rFonts w:cs="宋体"/>
          <w:sz w:val="22"/>
        </w:rPr>
        <w:t>投标人：</w:t>
      </w:r>
      <w:r>
        <w:rPr>
          <w:rFonts w:cs="宋体"/>
          <w:sz w:val="22"/>
          <w:u w:val="single"/>
        </w:rPr>
        <w:t xml:space="preserve">                </w:t>
      </w:r>
      <w:r>
        <w:rPr>
          <w:rFonts w:cs="宋体"/>
          <w:sz w:val="22"/>
        </w:rPr>
        <w:t>(盖章)</w:t>
      </w:r>
    </w:p>
    <w:p>
      <w:pPr>
        <w:snapToGrid w:val="0"/>
        <w:spacing w:line="360" w:lineRule="exact"/>
        <w:ind w:firstLine="3969" w:firstLineChars="1804"/>
        <w:jc w:val="left"/>
        <w:rPr>
          <w:rFonts w:cs="宋体"/>
          <w:sz w:val="22"/>
          <w:u w:val="single"/>
        </w:rPr>
      </w:pPr>
      <w:r>
        <w:rPr>
          <w:rFonts w:cs="宋体"/>
          <w:sz w:val="22"/>
        </w:rPr>
        <w:t>法定代表或委托代理人：</w:t>
      </w:r>
      <w:r>
        <w:rPr>
          <w:rFonts w:cs="宋体"/>
          <w:sz w:val="22"/>
          <w:u w:val="single"/>
        </w:rPr>
        <w:t xml:space="preserve">         </w:t>
      </w:r>
      <w:r>
        <w:rPr>
          <w:rFonts w:cs="宋体"/>
          <w:sz w:val="22"/>
        </w:rPr>
        <w:t>(签字或盖章)</w:t>
      </w:r>
    </w:p>
    <w:p>
      <w:pPr>
        <w:snapToGrid w:val="0"/>
        <w:spacing w:line="360" w:lineRule="exact"/>
        <w:ind w:firstLine="3969" w:firstLineChars="1804"/>
        <w:jc w:val="left"/>
        <w:rPr>
          <w:rFonts w:cs="宋体"/>
          <w:sz w:val="22"/>
          <w:u w:val="single"/>
        </w:rPr>
      </w:pPr>
      <w:r>
        <w:rPr>
          <w:rFonts w:cs="宋体"/>
          <w:sz w:val="22"/>
        </w:rPr>
        <w:t>联系人：</w:t>
      </w:r>
      <w:r>
        <w:rPr>
          <w:rFonts w:cs="宋体"/>
          <w:sz w:val="22"/>
          <w:u w:val="single"/>
        </w:rPr>
        <w:t xml:space="preserve">                    </w:t>
      </w:r>
    </w:p>
    <w:p>
      <w:pPr>
        <w:snapToGrid w:val="0"/>
        <w:spacing w:line="360" w:lineRule="exact"/>
        <w:ind w:firstLine="3969" w:firstLineChars="1804"/>
        <w:jc w:val="left"/>
        <w:rPr>
          <w:rFonts w:cs="宋体"/>
          <w:sz w:val="22"/>
          <w:u w:val="single"/>
        </w:rPr>
      </w:pPr>
      <w:r>
        <w:rPr>
          <w:rFonts w:cs="宋体"/>
          <w:sz w:val="22"/>
        </w:rPr>
        <w:t>联系地址：</w:t>
      </w:r>
      <w:r>
        <w:rPr>
          <w:rFonts w:cs="宋体"/>
          <w:sz w:val="22"/>
          <w:u w:val="single"/>
        </w:rPr>
        <w:t xml:space="preserve">                    </w:t>
      </w:r>
    </w:p>
    <w:p>
      <w:pPr>
        <w:snapToGrid w:val="0"/>
        <w:spacing w:line="360" w:lineRule="exact"/>
        <w:ind w:firstLine="3969" w:firstLineChars="1804"/>
        <w:jc w:val="left"/>
        <w:rPr>
          <w:rFonts w:cs="宋体"/>
          <w:sz w:val="22"/>
          <w:u w:val="single"/>
        </w:rPr>
      </w:pPr>
      <w:r>
        <w:rPr>
          <w:rFonts w:cs="宋体"/>
          <w:sz w:val="22"/>
        </w:rPr>
        <w:t>电话：</w:t>
      </w:r>
      <w:r>
        <w:rPr>
          <w:rFonts w:cs="宋体"/>
          <w:sz w:val="22"/>
          <w:u w:val="single"/>
        </w:rPr>
        <w:t xml:space="preserve">                    </w:t>
      </w:r>
    </w:p>
    <w:p>
      <w:pPr>
        <w:snapToGrid w:val="0"/>
        <w:spacing w:line="360" w:lineRule="exact"/>
        <w:ind w:firstLine="3969" w:firstLineChars="1804"/>
        <w:jc w:val="left"/>
        <w:rPr>
          <w:rFonts w:cs="宋体"/>
          <w:sz w:val="22"/>
          <w:u w:val="single"/>
        </w:rPr>
      </w:pPr>
      <w:r>
        <w:rPr>
          <w:rFonts w:cs="宋体"/>
          <w:sz w:val="22"/>
        </w:rPr>
        <w:t>邮编：</w:t>
      </w:r>
      <w:r>
        <w:rPr>
          <w:rFonts w:cs="宋体"/>
          <w:sz w:val="22"/>
          <w:u w:val="single"/>
        </w:rPr>
        <w:t xml:space="preserve">                    </w:t>
      </w:r>
    </w:p>
    <w:p>
      <w:pPr>
        <w:snapToGrid w:val="0"/>
        <w:spacing w:line="360" w:lineRule="exact"/>
        <w:ind w:firstLine="3969" w:firstLineChars="1804"/>
        <w:jc w:val="left"/>
        <w:rPr>
          <w:rFonts w:cs="宋体"/>
          <w:sz w:val="22"/>
        </w:rPr>
      </w:pPr>
      <w:r>
        <w:rPr>
          <w:rFonts w:cs="宋体"/>
          <w:sz w:val="22"/>
          <w:u w:val="single"/>
        </w:rPr>
        <w:t xml:space="preserve">       </w:t>
      </w:r>
      <w:r>
        <w:rPr>
          <w:rFonts w:cs="宋体"/>
          <w:sz w:val="22"/>
        </w:rPr>
        <w:t xml:space="preserve">年 </w:t>
      </w:r>
      <w:r>
        <w:rPr>
          <w:rFonts w:cs="宋体"/>
          <w:sz w:val="22"/>
          <w:u w:val="single"/>
        </w:rPr>
        <w:t xml:space="preserve">       </w:t>
      </w:r>
      <w:r>
        <w:rPr>
          <w:rFonts w:cs="宋体"/>
          <w:sz w:val="22"/>
        </w:rPr>
        <w:t xml:space="preserve"> 月</w:t>
      </w:r>
      <w:r>
        <w:rPr>
          <w:rFonts w:cs="宋体"/>
          <w:sz w:val="22"/>
          <w:u w:val="single"/>
        </w:rPr>
        <w:t xml:space="preserve">      </w:t>
      </w:r>
      <w:r>
        <w:rPr>
          <w:rFonts w:cs="宋体"/>
          <w:sz w:val="22"/>
        </w:rPr>
        <w:t>日</w:t>
      </w:r>
    </w:p>
    <w:p>
      <w:pPr>
        <w:widowControl/>
        <w:spacing w:line="360" w:lineRule="exact"/>
        <w:jc w:val="left"/>
        <w:rPr>
          <w:rFonts w:cs="微软雅黑"/>
          <w:b/>
          <w:kern w:val="0"/>
          <w:sz w:val="36"/>
          <w:szCs w:val="36"/>
        </w:rPr>
      </w:pPr>
      <w:r>
        <w:rPr>
          <w:rFonts w:cs="微软雅黑"/>
          <w:b/>
          <w:kern w:val="0"/>
          <w:sz w:val="36"/>
          <w:szCs w:val="36"/>
        </w:rPr>
        <w:br w:type="page"/>
      </w:r>
    </w:p>
    <w:p>
      <w:pPr>
        <w:autoSpaceDE w:val="0"/>
        <w:autoSpaceDN w:val="0"/>
        <w:adjustRightInd w:val="0"/>
        <w:spacing w:line="560" w:lineRule="exact"/>
        <w:jc w:val="center"/>
        <w:rPr>
          <w:rFonts w:cs="微软雅黑"/>
          <w:b/>
          <w:kern w:val="0"/>
          <w:sz w:val="36"/>
          <w:szCs w:val="36"/>
        </w:rPr>
      </w:pPr>
      <w:r>
        <w:rPr>
          <w:rFonts w:ascii="宋体" w:hAnsi="宋体" w:cs="微软雅黑"/>
          <w:b/>
          <w:kern w:val="0"/>
          <w:sz w:val="36"/>
          <w:szCs w:val="36"/>
        </w:rPr>
        <w:t>二</w:t>
      </w:r>
      <w:r>
        <w:rPr>
          <w:rFonts w:hint="eastAsia" w:ascii="宋体" w:hAnsi="宋体" w:cs="微软雅黑"/>
          <w:b/>
          <w:kern w:val="0"/>
          <w:sz w:val="36"/>
          <w:szCs w:val="36"/>
        </w:rPr>
        <w:t>-1</w:t>
      </w:r>
      <w:r>
        <w:rPr>
          <w:rFonts w:cs="微软雅黑"/>
          <w:b/>
          <w:kern w:val="0"/>
          <w:sz w:val="36"/>
          <w:szCs w:val="36"/>
        </w:rPr>
        <w:t>、法定代表人身份证明</w:t>
      </w:r>
    </w:p>
    <w:p>
      <w:pPr>
        <w:autoSpaceDE w:val="0"/>
        <w:autoSpaceDN w:val="0"/>
        <w:adjustRightInd w:val="0"/>
        <w:spacing w:line="360" w:lineRule="exact"/>
        <w:jc w:val="left"/>
        <w:rPr>
          <w:rFonts w:cs="微软雅黑"/>
          <w:kern w:val="0"/>
          <w:sz w:val="20"/>
          <w:szCs w:val="20"/>
        </w:rPr>
      </w:pPr>
    </w:p>
    <w:p>
      <w:pPr>
        <w:spacing w:line="360" w:lineRule="exact"/>
        <w:rPr>
          <w:rFonts w:cs="Calibri"/>
          <w:szCs w:val="21"/>
          <w:u w:val="single"/>
        </w:rPr>
      </w:pPr>
      <w:r>
        <w:rPr>
          <w:rFonts w:cs="Calibri"/>
          <w:szCs w:val="21"/>
        </w:rPr>
        <w:t>投标人名称：</w:t>
      </w:r>
      <w:r>
        <w:rPr>
          <w:rFonts w:cs="Calibri"/>
          <w:szCs w:val="21"/>
          <w:u w:val="single"/>
        </w:rPr>
        <w:t xml:space="preserve">                                  </w:t>
      </w:r>
    </w:p>
    <w:p>
      <w:pPr>
        <w:spacing w:line="360" w:lineRule="exact"/>
        <w:rPr>
          <w:rFonts w:cs="Calibri"/>
          <w:szCs w:val="21"/>
          <w:u w:val="single"/>
        </w:rPr>
      </w:pPr>
      <w:r>
        <w:rPr>
          <w:rFonts w:cs="Calibri"/>
          <w:szCs w:val="21"/>
        </w:rPr>
        <w:t>单位性质：</w:t>
      </w:r>
      <w:r>
        <w:rPr>
          <w:rFonts w:cs="Calibri"/>
          <w:szCs w:val="21"/>
          <w:u w:val="single"/>
        </w:rPr>
        <w:t xml:space="preserve">                                    </w:t>
      </w:r>
    </w:p>
    <w:p>
      <w:pPr>
        <w:spacing w:line="360" w:lineRule="exact"/>
        <w:rPr>
          <w:rFonts w:cs="Calibri"/>
          <w:szCs w:val="21"/>
          <w:u w:val="single"/>
        </w:rPr>
      </w:pPr>
      <w:r>
        <w:rPr>
          <w:rFonts w:cs="Calibri"/>
          <w:szCs w:val="21"/>
        </w:rPr>
        <w:t>地址：</w:t>
      </w:r>
      <w:r>
        <w:rPr>
          <w:rFonts w:cs="Calibri"/>
          <w:szCs w:val="21"/>
          <w:u w:val="single"/>
        </w:rPr>
        <w:t xml:space="preserve">                                        </w:t>
      </w:r>
    </w:p>
    <w:p>
      <w:pPr>
        <w:spacing w:line="360" w:lineRule="exact"/>
        <w:rPr>
          <w:rFonts w:cs="Calibri"/>
          <w:szCs w:val="21"/>
          <w:u w:val="single"/>
        </w:rPr>
      </w:pPr>
      <w:r>
        <w:rPr>
          <w:rFonts w:cs="Calibri"/>
          <w:szCs w:val="21"/>
        </w:rPr>
        <w:t>成立时间：</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pacing w:line="360" w:lineRule="exact"/>
        <w:rPr>
          <w:rFonts w:cs="Calibri"/>
          <w:szCs w:val="21"/>
          <w:u w:val="single"/>
        </w:rPr>
      </w:pPr>
      <w:r>
        <w:rPr>
          <w:rFonts w:cs="Calibri"/>
          <w:szCs w:val="21"/>
        </w:rPr>
        <w:t>经营期限：</w:t>
      </w:r>
      <w:r>
        <w:rPr>
          <w:rFonts w:cs="Calibri"/>
          <w:szCs w:val="21"/>
          <w:u w:val="single"/>
        </w:rPr>
        <w:t xml:space="preserve">                                     </w:t>
      </w:r>
    </w:p>
    <w:p>
      <w:pPr>
        <w:spacing w:line="360" w:lineRule="exact"/>
        <w:rPr>
          <w:rFonts w:cs="Calibri"/>
          <w:szCs w:val="21"/>
          <w:u w:val="single"/>
        </w:rPr>
      </w:pPr>
      <w:r>
        <w:rPr>
          <w:rFonts w:cs="Calibri"/>
          <w:szCs w:val="21"/>
        </w:rPr>
        <w:t>姓名：</w:t>
      </w:r>
      <w:r>
        <w:rPr>
          <w:rFonts w:cs="Calibri"/>
          <w:szCs w:val="21"/>
          <w:u w:val="single"/>
        </w:rPr>
        <w:t xml:space="preserve">         </w:t>
      </w:r>
      <w:r>
        <w:rPr>
          <w:rFonts w:cs="Calibri"/>
          <w:szCs w:val="21"/>
        </w:rPr>
        <w:t xml:space="preserve">  性别：</w:t>
      </w:r>
      <w:r>
        <w:rPr>
          <w:rFonts w:cs="Calibri"/>
          <w:szCs w:val="21"/>
          <w:u w:val="single"/>
        </w:rPr>
        <w:t xml:space="preserve">         </w:t>
      </w:r>
      <w:r>
        <w:rPr>
          <w:rFonts w:cs="Calibri"/>
          <w:szCs w:val="21"/>
        </w:rPr>
        <w:t xml:space="preserve">  年龄：</w:t>
      </w:r>
      <w:r>
        <w:rPr>
          <w:rFonts w:cs="Calibri"/>
          <w:szCs w:val="21"/>
          <w:u w:val="single"/>
        </w:rPr>
        <w:t xml:space="preserve">         </w:t>
      </w:r>
      <w:r>
        <w:rPr>
          <w:rFonts w:cs="Calibri"/>
          <w:szCs w:val="21"/>
        </w:rPr>
        <w:t xml:space="preserve">  职务：</w:t>
      </w:r>
      <w:r>
        <w:rPr>
          <w:rFonts w:cs="Calibri"/>
          <w:szCs w:val="21"/>
          <w:u w:val="single"/>
        </w:rPr>
        <w:t xml:space="preserve">         </w:t>
      </w:r>
      <w:r>
        <w:rPr>
          <w:rFonts w:cs="Calibri"/>
          <w:szCs w:val="21"/>
        </w:rPr>
        <w:t xml:space="preserve">  </w:t>
      </w:r>
    </w:p>
    <w:p>
      <w:pPr>
        <w:spacing w:line="360" w:lineRule="exact"/>
        <w:rPr>
          <w:rFonts w:cs="Calibri"/>
          <w:szCs w:val="21"/>
          <w:u w:val="single"/>
        </w:rPr>
      </w:pPr>
      <w:r>
        <w:rPr>
          <w:rFonts w:cs="Calibri"/>
          <w:szCs w:val="21"/>
        </w:rPr>
        <w:t>身份证号码：</w:t>
      </w:r>
      <w:r>
        <w:rPr>
          <w:rFonts w:cs="Calibri"/>
          <w:szCs w:val="21"/>
          <w:u w:val="single"/>
        </w:rPr>
        <w:t xml:space="preserve">                           </w:t>
      </w:r>
    </w:p>
    <w:p>
      <w:pPr>
        <w:spacing w:line="360" w:lineRule="exact"/>
        <w:ind w:firstLine="560"/>
        <w:rPr>
          <w:rFonts w:cs="Calibri"/>
          <w:szCs w:val="21"/>
        </w:rPr>
      </w:pPr>
    </w:p>
    <w:p>
      <w:pPr>
        <w:spacing w:line="360" w:lineRule="exact"/>
        <w:rPr>
          <w:rFonts w:cs="Calibri"/>
          <w:szCs w:val="21"/>
        </w:rPr>
      </w:pPr>
      <w:r>
        <w:rPr>
          <w:rFonts w:cs="Calibri"/>
          <w:szCs w:val="21"/>
        </w:rPr>
        <w:t xml:space="preserve">    系</w:t>
      </w:r>
      <w:r>
        <w:rPr>
          <w:rFonts w:cs="Calibri"/>
          <w:szCs w:val="21"/>
          <w:u w:val="single"/>
        </w:rPr>
        <w:t xml:space="preserve">                          </w:t>
      </w:r>
      <w:r>
        <w:rPr>
          <w:rFonts w:cs="Calibri"/>
          <w:szCs w:val="21"/>
        </w:rPr>
        <w:t>(投标人名称)的法定代表人。</w:t>
      </w:r>
    </w:p>
    <w:p>
      <w:pPr>
        <w:spacing w:line="360" w:lineRule="exact"/>
        <w:ind w:firstLine="560"/>
        <w:rPr>
          <w:rFonts w:cs="Calibri"/>
          <w:szCs w:val="21"/>
        </w:rPr>
      </w:pPr>
    </w:p>
    <w:p>
      <w:pPr>
        <w:spacing w:line="360" w:lineRule="exact"/>
        <w:rPr>
          <w:rFonts w:cs="Calibri"/>
          <w:szCs w:val="21"/>
        </w:rPr>
      </w:pPr>
      <w:r>
        <w:rPr>
          <w:rFonts w:cs="Calibri"/>
          <w:szCs w:val="21"/>
        </w:rPr>
        <w:t>特此证明。</w:t>
      </w:r>
    </w:p>
    <w:p>
      <w:pPr>
        <w:spacing w:line="360" w:lineRule="exact"/>
        <w:rPr>
          <w:rFonts w:cs="Calibri"/>
          <w:szCs w:val="21"/>
        </w:rPr>
      </w:pPr>
      <w:r>
        <w:rPr>
          <w:rFonts w:cs="Calibri"/>
          <w:szCs w:val="21"/>
        </w:rPr>
        <w:t xml:space="preserve">投标人：(盖单位章) </w:t>
      </w:r>
    </w:p>
    <w:p>
      <w:pPr>
        <w:spacing w:line="360" w:lineRule="exact"/>
        <w:ind w:firstLine="6240" w:firstLineChars="2960"/>
        <w:rPr>
          <w:rFonts w:cs="Calibri"/>
          <w:b/>
          <w:szCs w:val="21"/>
        </w:rPr>
      </w:pPr>
      <w:r>
        <w:rPr>
          <w:rFonts w:cs="Calibri"/>
          <w:b/>
          <w:szCs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5"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文本框 3" o:spid="_x0000_s1026" o:spt="202" type="#_x0000_t202" style="position:absolute;left:0pt;margin-left:0pt;margin-top:31.2pt;height:171.6pt;width:423pt;mso-wrap-distance-bottom:0pt;mso-wrap-distance-left:9pt;mso-wrap-distance-right:9pt;mso-wrap-distance-top:0pt;z-index:251657216;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qfK7TXAAAABwEAAA8AAAAAAAAAAQAgAAAAIgAAAGRycy9kb3ducmV2LnhtbFBLAQIU&#10;ABQAAAAIAIdO4kB4wumPLQIAAEgEAAAOAAAAAAAAAAEAIAAAACYBAABkcnMvZTJvRG9jLnhtbFBL&#10;BQYAAAAABgAGAFkBAADF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v:textbox>
                <w10:wrap type="square"/>
              </v:shape>
            </w:pict>
          </mc:Fallback>
        </mc:AlternateContent>
      </w:r>
      <w:r>
        <w:rPr>
          <w:rFonts w:cs="Calibri"/>
          <w:szCs w:val="21"/>
        </w:rPr>
        <w:t>日期：   年    月    日</w:t>
      </w:r>
    </w:p>
    <w:p>
      <w:pPr>
        <w:autoSpaceDE w:val="0"/>
        <w:autoSpaceDN w:val="0"/>
        <w:adjustRightInd w:val="0"/>
        <w:spacing w:line="360" w:lineRule="exact"/>
        <w:jc w:val="center"/>
        <w:rPr>
          <w:rFonts w:cs="微软雅黑"/>
          <w:b/>
          <w:kern w:val="0"/>
          <w:sz w:val="36"/>
          <w:szCs w:val="36"/>
        </w:rPr>
      </w:pPr>
      <w:r>
        <w:rPr>
          <w:rFonts w:cs="Calibri"/>
          <w:szCs w:val="21"/>
        </w:rPr>
        <w:br w:type="page"/>
      </w:r>
      <w:r>
        <w:rPr>
          <w:rFonts w:hint="eastAsia" w:ascii="宋体" w:hAnsi="宋体" w:cs="微软雅黑"/>
          <w:b/>
          <w:kern w:val="0"/>
          <w:sz w:val="36"/>
          <w:szCs w:val="36"/>
        </w:rPr>
        <w:t>二-2</w:t>
      </w:r>
      <w:r>
        <w:rPr>
          <w:rFonts w:cs="微软雅黑"/>
          <w:b/>
          <w:kern w:val="0"/>
          <w:sz w:val="36"/>
          <w:szCs w:val="36"/>
        </w:rPr>
        <w:t>、法定代表人授权委托书</w:t>
      </w:r>
    </w:p>
    <w:p>
      <w:pPr>
        <w:autoSpaceDE w:val="0"/>
        <w:autoSpaceDN w:val="0"/>
        <w:adjustRightInd w:val="0"/>
        <w:spacing w:line="360" w:lineRule="exact"/>
        <w:ind w:firstLine="480" w:firstLineChars="200"/>
        <w:jc w:val="left"/>
        <w:rPr>
          <w:rFonts w:cs="微软雅黑"/>
          <w:kern w:val="0"/>
          <w:sz w:val="24"/>
          <w:szCs w:val="24"/>
        </w:rPr>
      </w:pPr>
    </w:p>
    <w:p>
      <w:pPr>
        <w:spacing w:line="360" w:lineRule="exact"/>
        <w:ind w:firstLine="420" w:firstLineChars="200"/>
        <w:rPr>
          <w:rFonts w:cs="Calibri"/>
          <w:szCs w:val="21"/>
        </w:rPr>
      </w:pPr>
      <w:r>
        <w:rPr>
          <w:rFonts w:cs="Calibri"/>
          <w:szCs w:val="21"/>
        </w:rPr>
        <w:t>本人</w:t>
      </w:r>
      <w:r>
        <w:rPr>
          <w:rFonts w:cs="Calibri"/>
          <w:szCs w:val="21"/>
          <w:u w:val="single"/>
        </w:rPr>
        <w:t xml:space="preserve">        </w:t>
      </w:r>
      <w:r>
        <w:rPr>
          <w:rFonts w:cs="Calibri"/>
          <w:szCs w:val="21"/>
        </w:rPr>
        <w:t>(姓名)系</w:t>
      </w:r>
      <w:r>
        <w:rPr>
          <w:rFonts w:cs="Calibri"/>
          <w:szCs w:val="21"/>
          <w:u w:val="single"/>
        </w:rPr>
        <w:t xml:space="preserve">                </w:t>
      </w:r>
      <w:r>
        <w:rPr>
          <w:rFonts w:cs="Calibri"/>
          <w:szCs w:val="21"/>
        </w:rPr>
        <w:t>(投标人名称)的法定代表人，现委托</w:t>
      </w:r>
      <w:r>
        <w:rPr>
          <w:rFonts w:cs="Calibri"/>
          <w:szCs w:val="21"/>
          <w:u w:val="single"/>
        </w:rPr>
        <w:t xml:space="preserve">      </w:t>
      </w:r>
      <w:r>
        <w:rPr>
          <w:rFonts w:cs="Calibri"/>
          <w:szCs w:val="21"/>
        </w:rPr>
        <w:t>(姓名)为我方代理人。代理人根据授权，以我方名义签署、澄清、说明、补正、递交、撤回、修改</w:t>
      </w:r>
      <w:r>
        <w:rPr>
          <w:rFonts w:cs="Calibri"/>
          <w:szCs w:val="21"/>
          <w:u w:val="single"/>
        </w:rPr>
        <w:t xml:space="preserve">              </w:t>
      </w:r>
      <w:r>
        <w:rPr>
          <w:rFonts w:cs="Calibri"/>
          <w:szCs w:val="21"/>
        </w:rPr>
        <w:t>(项目名称)投标文件、签订合同和处理有关事宜，其法律后果由我方承担。</w:t>
      </w:r>
    </w:p>
    <w:p>
      <w:pPr>
        <w:spacing w:line="360" w:lineRule="exact"/>
        <w:ind w:firstLine="420" w:firstLineChars="200"/>
        <w:rPr>
          <w:rFonts w:cs="Calibri"/>
          <w:szCs w:val="21"/>
        </w:rPr>
      </w:pPr>
      <w:r>
        <w:rPr>
          <w:rFonts w:cs="Calibri"/>
          <w:szCs w:val="21"/>
        </w:rPr>
        <w:t>代理人无转委托权。</w:t>
      </w:r>
    </w:p>
    <w:p>
      <w:pPr>
        <w:spacing w:line="360" w:lineRule="exact"/>
        <w:ind w:firstLine="420" w:firstLineChars="200"/>
        <w:rPr>
          <w:rFonts w:cs="Calibri"/>
          <w:szCs w:val="21"/>
        </w:rPr>
      </w:pPr>
      <w:r>
        <w:rPr>
          <w:rFonts w:cs="Calibri"/>
          <w:szCs w:val="21"/>
        </w:rPr>
        <w:t>附：委托代理人身份证复制件。</w:t>
      </w:r>
    </w:p>
    <w:p>
      <w:pPr>
        <w:spacing w:line="360" w:lineRule="exact"/>
        <w:rPr>
          <w:rFonts w:cs="Calibri"/>
          <w:szCs w:val="21"/>
        </w:rPr>
      </w:pPr>
    </w:p>
    <w:p>
      <w:pPr>
        <w:spacing w:line="360" w:lineRule="exact"/>
        <w:rPr>
          <w:rFonts w:cs="Calibri"/>
          <w:szCs w:val="21"/>
        </w:rPr>
      </w:pPr>
      <w:r>
        <w:rPr>
          <w:rFonts w:cs="Calibri"/>
          <w:szCs w:val="21"/>
        </w:rPr>
        <w:t>投标人：(盖单位章)</w:t>
      </w:r>
    </w:p>
    <w:p>
      <w:pPr>
        <w:spacing w:line="360" w:lineRule="exact"/>
        <w:rPr>
          <w:rFonts w:cs="Calibri"/>
          <w:szCs w:val="21"/>
        </w:rPr>
      </w:pPr>
      <w:r>
        <w:rPr>
          <w:rFonts w:cs="Calibri"/>
          <w:szCs w:val="21"/>
        </w:rPr>
        <w:t>法定代表人：(签字或盖章)</w:t>
      </w:r>
    </w:p>
    <w:p>
      <w:pPr>
        <w:spacing w:line="360" w:lineRule="exact"/>
        <w:rPr>
          <w:rFonts w:cs="Calibri"/>
          <w:szCs w:val="21"/>
        </w:rPr>
      </w:pPr>
      <w:r>
        <w:rPr>
          <w:rFonts w:cs="Calibri"/>
          <w:szCs w:val="21"/>
        </w:rPr>
        <w:t>身份证号码：</w:t>
      </w:r>
    </w:p>
    <w:p>
      <w:pPr>
        <w:spacing w:line="360" w:lineRule="exact"/>
        <w:rPr>
          <w:rFonts w:cs="Calibri"/>
          <w:szCs w:val="21"/>
        </w:rPr>
      </w:pPr>
    </w:p>
    <w:p>
      <w:pPr>
        <w:tabs>
          <w:tab w:val="left" w:pos="6818"/>
        </w:tabs>
        <w:spacing w:line="360" w:lineRule="exact"/>
        <w:rPr>
          <w:rFonts w:cs="Calibri"/>
          <w:szCs w:val="21"/>
        </w:rPr>
      </w:pPr>
      <w:r>
        <w:rPr>
          <w:rFonts w:cs="Calibri"/>
          <w:szCs w:val="21"/>
        </w:rPr>
        <w:t>委托的代理人：(签字或盖章)</w:t>
      </w:r>
      <w:r>
        <w:rPr>
          <w:rFonts w:cs="Calibri"/>
          <w:szCs w:val="21"/>
        </w:rPr>
        <w:tab/>
      </w:r>
    </w:p>
    <w:p>
      <w:pPr>
        <w:spacing w:line="360" w:lineRule="exact"/>
        <w:rPr>
          <w:rFonts w:cs="Calibri"/>
          <w:szCs w:val="21"/>
        </w:rPr>
      </w:pPr>
      <w:r>
        <w:rPr>
          <w:rFonts w:cs="Calibri"/>
          <w:szCs w:val="21"/>
        </w:rPr>
        <w:t>身份证号码：</w:t>
      </w:r>
    </w:p>
    <w:p>
      <w:pPr>
        <w:spacing w:line="360" w:lineRule="exact"/>
        <w:rPr>
          <w:rFonts w:cs="Calibri"/>
          <w:szCs w:val="21"/>
        </w:rPr>
      </w:pPr>
      <w:r>
        <w:rPr>
          <w:rFonts w:hint="eastAsia" w:cs="Calibri"/>
          <w:szCs w:val="21"/>
        </w:rPr>
        <w:t>手机号码：</w:t>
      </w:r>
    </w:p>
    <w:p>
      <w:pPr>
        <w:spacing w:line="360" w:lineRule="exact"/>
        <w:rPr>
          <w:rFonts w:cs="Calibri"/>
          <w:szCs w:val="21"/>
        </w:rPr>
      </w:pPr>
      <w:r>
        <w:rPr>
          <w:rFonts w:hint="eastAsia" w:cs="Calibri"/>
          <w:szCs w:val="21"/>
        </w:rPr>
        <w:t>电子邮箱：</w:t>
      </w:r>
    </w:p>
    <w:p>
      <w:pPr>
        <w:spacing w:line="360" w:lineRule="exact"/>
        <w:ind w:firstLine="4515" w:firstLineChars="2150"/>
        <w:rPr>
          <w:rFonts w:cs="Calibri"/>
          <w:szCs w:val="21"/>
        </w:rPr>
      </w:pPr>
      <w:r>
        <w:rPr>
          <w:rFonts w:cs="Calibri"/>
          <w:szCs w:val="21"/>
        </w:rPr>
        <w:t>日期：</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napToGrid w:val="0"/>
        <w:spacing w:line="360" w:lineRule="exact"/>
        <w:rPr>
          <w:rFonts w:cs="Calibri"/>
          <w:szCs w:val="21"/>
        </w:rPr>
      </w:pPr>
      <w:r>
        <w:rPr>
          <w:rFonts w:cs="Calibri"/>
          <w:b/>
          <w:szCs w:val="21"/>
        </w:rPr>
        <mc:AlternateContent>
          <mc:Choice Requires="wps">
            <w:drawing>
              <wp:anchor distT="0" distB="0" distL="114300" distR="114300" simplePos="0" relativeHeight="251658240"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6"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9.15pt;margin-top:20.8pt;height:171.6pt;width:423pt;mso-wrap-distance-bottom:0pt;mso-wrap-distance-left:9pt;mso-wrap-distance-right:9pt;mso-wrap-distance-top:0pt;z-index:251658240;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pPesHXAAAACQEAAA8AAAAAAAAAAQAgAAAAIgAAAGRycy9kb3ducmV2LnhtbFBLAQIU&#10;ABQAAAAIAIdO4kDo3+NlLQIAAEgEAAAOAAAAAAAAAAEAIAAAACYBAABkcnMvZTJvRG9jLnhtbFBL&#10;BQYAAAAABgAGAFkBAADF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v:textbox>
                <w10:wrap type="square"/>
              </v:shape>
            </w:pict>
          </mc:Fallback>
        </mc:AlternateContent>
      </w:r>
      <w:r>
        <w:rPr>
          <w:rFonts w:cs="Calibri"/>
          <w:szCs w:val="21"/>
        </w:rPr>
        <w:t xml:space="preserve">                                  </w:t>
      </w:r>
    </w:p>
    <w:p>
      <w:pPr>
        <w:spacing w:line="360" w:lineRule="exact"/>
        <w:rPr>
          <w:rFonts w:cs="Calibri"/>
          <w:b/>
          <w:bCs/>
          <w:szCs w:val="21"/>
        </w:rPr>
      </w:pPr>
      <w:r>
        <w:rPr>
          <w:rFonts w:cs="Calibri"/>
          <w:b/>
          <w:bCs/>
          <w:szCs w:val="21"/>
        </w:rPr>
        <w:t xml:space="preserve">  </w:t>
      </w:r>
    </w:p>
    <w:p>
      <w:pPr>
        <w:spacing w:line="360" w:lineRule="exact"/>
        <w:rPr>
          <w:rFonts w:cs="Calibri"/>
          <w:b/>
          <w:bCs/>
          <w:szCs w:val="21"/>
        </w:rPr>
      </w:pPr>
    </w:p>
    <w:p>
      <w:pPr>
        <w:spacing w:line="360" w:lineRule="exact"/>
        <w:rPr>
          <w:rFonts w:cs="Calibri"/>
          <w:szCs w:val="21"/>
        </w:rPr>
      </w:pPr>
    </w:p>
    <w:p>
      <w:pPr>
        <w:spacing w:line="360" w:lineRule="exact"/>
        <w:rPr>
          <w:rFonts w:cs="Calibri"/>
          <w:szCs w:val="21"/>
        </w:rPr>
      </w:pPr>
    </w:p>
    <w:p>
      <w:pPr>
        <w:spacing w:line="360" w:lineRule="exact"/>
        <w:rPr>
          <w:rFonts w:cs="Calibri"/>
          <w:szCs w:val="21"/>
        </w:rPr>
      </w:pPr>
    </w:p>
    <w:p>
      <w:pPr>
        <w:spacing w:line="360" w:lineRule="exact"/>
        <w:rPr>
          <w:rFonts w:cs="Calibri"/>
          <w:szCs w:val="21"/>
        </w:rPr>
      </w:pPr>
    </w:p>
    <w:p>
      <w:pPr>
        <w:spacing w:line="360" w:lineRule="exact"/>
        <w:rPr>
          <w:rFonts w:cs="Calibri"/>
          <w:szCs w:val="21"/>
        </w:rPr>
      </w:pPr>
    </w:p>
    <w:p>
      <w:pPr>
        <w:spacing w:line="560" w:lineRule="exact"/>
        <w:rPr>
          <w:rFonts w:cs="Calibri"/>
          <w:szCs w:val="21"/>
        </w:rPr>
      </w:pPr>
    </w:p>
    <w:p>
      <w:pPr>
        <w:spacing w:line="560" w:lineRule="exact"/>
        <w:rPr>
          <w:rFonts w:cs="Calibri"/>
          <w:szCs w:val="21"/>
        </w:rPr>
      </w:pPr>
    </w:p>
    <w:p>
      <w:pPr>
        <w:tabs>
          <w:tab w:val="left" w:pos="2420"/>
          <w:tab w:val="left" w:pos="5580"/>
        </w:tabs>
        <w:autoSpaceDE w:val="0"/>
        <w:autoSpaceDN w:val="0"/>
        <w:adjustRightInd w:val="0"/>
        <w:spacing w:line="360" w:lineRule="exact"/>
        <w:ind w:right="-23" w:firstLine="420" w:firstLineChars="200"/>
        <w:jc w:val="left"/>
        <w:rPr>
          <w:rFonts w:cs="微软雅黑"/>
          <w:kern w:val="0"/>
          <w:sz w:val="24"/>
          <w:szCs w:val="24"/>
        </w:rPr>
      </w:pPr>
      <w:r>
        <w:rPr>
          <w:rFonts w:cs="Calibri"/>
          <w:szCs w:val="21"/>
        </w:rPr>
        <w:t>注：如投标文件由委托代理人签字或盖章的，投标文件必须附此授权委托书。</w:t>
      </w:r>
      <w:r>
        <w:rPr>
          <w:rFonts w:cs="Calibri"/>
          <w:b/>
          <w:bCs/>
          <w:szCs w:val="21"/>
        </w:rPr>
        <w:t xml:space="preserve">    </w:t>
      </w:r>
    </w:p>
    <w:p>
      <w:pPr>
        <w:tabs>
          <w:tab w:val="left" w:pos="6640"/>
          <w:tab w:val="left" w:pos="7580"/>
          <w:tab w:val="left" w:pos="8520"/>
        </w:tabs>
        <w:autoSpaceDE w:val="0"/>
        <w:autoSpaceDN w:val="0"/>
        <w:adjustRightInd w:val="0"/>
        <w:spacing w:line="560" w:lineRule="exact"/>
        <w:ind w:left="5907" w:right="-20" w:firstLine="480" w:firstLineChars="200"/>
        <w:jc w:val="left"/>
        <w:rPr>
          <w:rFonts w:cs="微软雅黑"/>
          <w:kern w:val="0"/>
          <w:sz w:val="24"/>
          <w:szCs w:val="21"/>
        </w:rPr>
        <w:sectPr>
          <w:pgSz w:w="11907" w:h="16840"/>
          <w:pgMar w:top="1134" w:right="1134" w:bottom="1134" w:left="1134" w:header="567" w:footer="567" w:gutter="0"/>
          <w:cols w:space="720" w:num="1"/>
        </w:sectPr>
      </w:pPr>
    </w:p>
    <w:p>
      <w:pPr>
        <w:spacing w:line="560" w:lineRule="exact"/>
        <w:jc w:val="center"/>
        <w:rPr>
          <w:rFonts w:cs="微软雅黑"/>
          <w:b/>
          <w:kern w:val="0"/>
          <w:sz w:val="36"/>
          <w:szCs w:val="36"/>
        </w:rPr>
      </w:pPr>
      <w:r>
        <w:rPr>
          <w:rFonts w:hint="eastAsia" w:cs="微软雅黑"/>
          <w:b/>
          <w:kern w:val="0"/>
          <w:sz w:val="36"/>
          <w:szCs w:val="36"/>
        </w:rPr>
        <w:t>三、已标价工程量清单</w:t>
      </w:r>
    </w:p>
    <w:p>
      <w:pPr>
        <w:autoSpaceDE w:val="0"/>
        <w:autoSpaceDN w:val="0"/>
        <w:adjustRightInd w:val="0"/>
        <w:snapToGrid w:val="0"/>
        <w:spacing w:line="560" w:lineRule="exact"/>
        <w:ind w:firstLine="420" w:firstLineChars="200"/>
        <w:rPr>
          <w:rFonts w:ascii="宋体" w:hAnsi="宋体" w:cs="Arial"/>
          <w:kern w:val="0"/>
          <w:szCs w:val="21"/>
        </w:rPr>
      </w:pPr>
    </w:p>
    <w:p>
      <w:pPr>
        <w:keepLines/>
        <w:pageBreakBefore/>
        <w:spacing w:line="560" w:lineRule="exact"/>
        <w:jc w:val="center"/>
        <w:rPr>
          <w:rFonts w:cs="微软雅黑"/>
          <w:b/>
          <w:kern w:val="0"/>
          <w:sz w:val="36"/>
          <w:szCs w:val="36"/>
        </w:rPr>
      </w:pPr>
      <w:bookmarkStart w:id="29" w:name="_Hlk54024727"/>
      <w:r>
        <w:rPr>
          <w:rFonts w:hint="eastAsia" w:cs="微软雅黑"/>
          <w:b/>
          <w:kern w:val="0"/>
          <w:sz w:val="36"/>
          <w:szCs w:val="36"/>
        </w:rPr>
        <w:t>四、投标人认为需要提供的其他材料</w:t>
      </w:r>
    </w:p>
    <w:bookmarkEnd w:id="29"/>
    <w:p>
      <w:pPr>
        <w:autoSpaceDE w:val="0"/>
        <w:autoSpaceDN w:val="0"/>
        <w:adjustRightInd w:val="0"/>
        <w:spacing w:line="560" w:lineRule="exact"/>
        <w:jc w:val="center"/>
        <w:rPr>
          <w:b/>
          <w:sz w:val="24"/>
        </w:rPr>
      </w:pPr>
    </w:p>
    <w:p/>
    <w:sectPr>
      <w:footerReference r:id="rId11" w:type="first"/>
      <w:headerReference r:id="rId9" w:type="default"/>
      <w:footerReference r:id="rId10" w:type="default"/>
      <w:pgSz w:w="11906" w:h="16838"/>
      <w:pgMar w:top="1440" w:right="1800" w:bottom="1440" w:left="180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w:t>
    </w:r>
    <w:r>
      <w:t xml:space="preserve"> 68 -</w:t>
    </w:r>
    <w:r>
      <w:fldChar w:fldCharType="end"/>
    </w:r>
  </w:p>
  <w:p>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2478179"/>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4822961"/>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695907"/>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40</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744"/>
    <w:multiLevelType w:val="multilevel"/>
    <w:tmpl w:val="05ED7744"/>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08902E2F"/>
    <w:multiLevelType w:val="multilevel"/>
    <w:tmpl w:val="08902E2F"/>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4132C69"/>
    <w:multiLevelType w:val="singleLevel"/>
    <w:tmpl w:val="54132C69"/>
    <w:lvl w:ilvl="0" w:tentative="0">
      <w:start w:val="1"/>
      <w:numFmt w:val="decimal"/>
      <w:suff w:val="nothing"/>
      <w:lvlText w:val="%1．"/>
      <w:lvlJc w:val="left"/>
    </w:lvl>
  </w:abstractNum>
  <w:abstractNum w:abstractNumId="3">
    <w:nsid w:val="5D75C5AD"/>
    <w:multiLevelType w:val="singleLevel"/>
    <w:tmpl w:val="5D75C5AD"/>
    <w:lvl w:ilvl="0" w:tentative="0">
      <w:start w:val="1"/>
      <w:numFmt w:val="decimal"/>
      <w:suff w:val="nothing"/>
      <w:lvlText w:val="（%1）"/>
      <w:lvlJc w:val="left"/>
    </w:lvl>
  </w:abstractNum>
  <w:abstractNum w:abstractNumId="4">
    <w:nsid w:val="6306DE00"/>
    <w:multiLevelType w:val="singleLevel"/>
    <w:tmpl w:val="6306DE00"/>
    <w:lvl w:ilvl="0" w:tentative="0">
      <w:start w:val="4"/>
      <w:numFmt w:val="decimal"/>
      <w:suff w:val="nothing"/>
      <w:lvlText w:val="(%1)"/>
      <w:lvlJc w:val="left"/>
    </w:lvl>
  </w:abstractNum>
  <w:abstractNum w:abstractNumId="5">
    <w:nsid w:val="636C52E6"/>
    <w:multiLevelType w:val="singleLevel"/>
    <w:tmpl w:val="636C52E6"/>
    <w:lvl w:ilvl="0" w:tentative="0">
      <w:start w:val="1"/>
      <w:numFmt w:val="decimal"/>
      <w:suff w:val="nothing"/>
      <w:lvlText w:val="(%1)"/>
      <w:lvlJc w:val="left"/>
    </w:lvl>
  </w:abstractNum>
  <w:abstractNum w:abstractNumId="6">
    <w:nsid w:val="649FCD82"/>
    <w:multiLevelType w:val="singleLevel"/>
    <w:tmpl w:val="649FCD82"/>
    <w:lvl w:ilvl="0" w:tentative="0">
      <w:start w:val="1"/>
      <w:numFmt w:val="decimal"/>
      <w:suff w:val="nothing"/>
      <w:lvlText w:val="（%1）"/>
      <w:lvlJc w:val="left"/>
    </w:lvl>
  </w:abstractNum>
  <w:abstractNum w:abstractNumId="7">
    <w:nsid w:val="649FCE99"/>
    <w:multiLevelType w:val="singleLevel"/>
    <w:tmpl w:val="649FCE99"/>
    <w:lvl w:ilvl="0" w:tentative="0">
      <w:start w:val="1"/>
      <w:numFmt w:val="decimal"/>
      <w:suff w:val="nothing"/>
      <w:lvlText w:val="（%1）"/>
      <w:lvlJc w:val="left"/>
    </w:lvl>
  </w:abstractNum>
  <w:abstractNum w:abstractNumId="8">
    <w:nsid w:val="67839068"/>
    <w:multiLevelType w:val="singleLevel"/>
    <w:tmpl w:val="67839068"/>
    <w:lvl w:ilvl="0" w:tentative="0">
      <w:start w:val="1"/>
      <w:numFmt w:val="chineseCounting"/>
      <w:suff w:val="nothing"/>
      <w:lvlText w:val="%1、"/>
      <w:lvlJc w:val="left"/>
      <w:rPr>
        <w:rFonts w:hint="eastAsia"/>
      </w:rPr>
    </w:lvl>
  </w:abstractNum>
  <w:num w:numId="1">
    <w:abstractNumId w:val="3"/>
  </w:num>
  <w:num w:numId="2">
    <w:abstractNumId w:val="6"/>
  </w:num>
  <w:num w:numId="3">
    <w:abstractNumId w:val="7"/>
  </w:num>
  <w:num w:numId="4">
    <w:abstractNumId w:val="4"/>
  </w:num>
  <w:num w:numId="5">
    <w:abstractNumId w:val="2"/>
  </w:num>
  <w:num w:numId="6">
    <w:abstractNumId w:val="8"/>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55558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360" w:lineRule="auto"/>
      <w:jc w:val="center"/>
      <w:outlineLvl w:val="0"/>
    </w:pPr>
    <w:rPr>
      <w:rFonts w:ascii="Times New Roman" w:hAnsi="Times New Roman" w:eastAsia="宋体" w:cs="Times New Roman"/>
      <w:b/>
      <w:bCs/>
      <w:kern w:val="44"/>
      <w:sz w:val="30"/>
      <w:szCs w:val="44"/>
    </w:rPr>
  </w:style>
  <w:style w:type="character" w:default="1" w:styleId="10">
    <w:name w:val="Default Paragraph Font"/>
    <w:semiHidden/>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customStyle="1" w:styleId="2">
    <w:name w:val="样式 标题 1 + 四号 加粗"/>
    <w:basedOn w:val="3"/>
    <w:qFormat/>
    <w:uiPriority w:val="0"/>
    <w:rPr>
      <w:rFonts w:eastAsia="黑体"/>
    </w:rPr>
  </w:style>
  <w:style w:type="paragraph" w:styleId="4">
    <w:name w:val="Normal Indent"/>
    <w:basedOn w:val="1"/>
    <w:uiPriority w:val="0"/>
    <w:pPr>
      <w:ind w:firstLine="420"/>
    </w:pPr>
    <w:rPr>
      <w:rFonts w:ascii="Times New Roman" w:hAnsi="Times New Roman" w:eastAsia="宋体" w:cs="Times New Roman"/>
      <w:szCs w:val="20"/>
    </w:rPr>
  </w:style>
  <w:style w:type="paragraph" w:styleId="5">
    <w:name w:val="Plain Text"/>
    <w:basedOn w:val="1"/>
    <w:uiPriority w:val="0"/>
    <w:rPr>
      <w:rFonts w:ascii="宋体" w:hAnsi="Courier New" w:eastAsia="宋体" w:cs="Times New Roman"/>
      <w:kern w:val="0"/>
      <w:sz w:val="20"/>
      <w:szCs w:val="21"/>
    </w:rPr>
  </w:style>
  <w:style w:type="paragraph" w:styleId="6">
    <w:name w:val="footer"/>
    <w:basedOn w:val="1"/>
    <w:uiPriority w:val="0"/>
    <w:pPr>
      <w:tabs>
        <w:tab w:val="center" w:pos="4153"/>
        <w:tab w:val="right" w:pos="8306"/>
      </w:tabs>
      <w:snapToGrid w:val="0"/>
      <w:jc w:val="left"/>
    </w:pPr>
    <w:rPr>
      <w:rFonts w:ascii="Times New Roman" w:hAnsi="Times New Roman" w:eastAsia="宋体" w:cs="Times New Roman"/>
      <w:kern w:val="0"/>
      <w:sz w:val="18"/>
      <w:szCs w:val="20"/>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宋体" w:cs="Times New Roman"/>
      <w:kern w:val="0"/>
      <w:sz w:val="18"/>
      <w:szCs w:val="20"/>
    </w:rPr>
  </w:style>
  <w:style w:type="paragraph" w:styleId="8">
    <w:name w:val="toc 1"/>
    <w:basedOn w:val="1"/>
    <w:next w:val="1"/>
    <w:uiPriority w:val="0"/>
    <w:pPr>
      <w:adjustRightInd w:val="0"/>
      <w:snapToGrid w:val="0"/>
    </w:pPr>
    <w:rPr>
      <w:rFonts w:ascii="Times New Roman" w:hAnsi="Times New Roman" w:eastAsia="仿宋" w:cs="Times New Roman"/>
      <w:szCs w:val="24"/>
    </w:rPr>
  </w:style>
  <w:style w:type="paragraph" w:styleId="9">
    <w:name w:val="Title"/>
    <w:basedOn w:val="1"/>
    <w:next w:val="1"/>
    <w:qFormat/>
    <w:uiPriority w:val="0"/>
    <w:pPr>
      <w:spacing w:before="60" w:after="60"/>
      <w:jc w:val="center"/>
      <w:outlineLvl w:val="0"/>
    </w:pPr>
    <w:rPr>
      <w:rFonts w:ascii="Cambria" w:hAnsi="Cambria" w:eastAsia="黑体" w:cs="Times New Roman"/>
      <w:b/>
      <w:bCs/>
      <w:kern w:val="0"/>
      <w:sz w:val="32"/>
      <w:szCs w:val="32"/>
    </w:rPr>
  </w:style>
  <w:style w:type="character" w:styleId="11">
    <w:name w:val="page number"/>
    <w:basedOn w:val="10"/>
    <w:uiPriority w:val="0"/>
  </w:style>
  <w:style w:type="paragraph" w:customStyle="1" w:styleId="13">
    <w:name w:val="正文_0"/>
    <w:qFormat/>
    <w:uiPriority w:val="0"/>
    <w:pPr>
      <w:widowControl w:val="0"/>
      <w:jc w:val="both"/>
    </w:pPr>
    <w:rPr>
      <w:rFonts w:ascii="Calibri" w:hAnsi="Calibri" w:eastAsia="宋体" w:cs="Calibri"/>
      <w:kern w:val="2"/>
      <w:sz w:val="21"/>
      <w:szCs w:val="24"/>
      <w:lang w:val="en-US" w:eastAsia="zh-CN" w:bidi="ar-SA"/>
    </w:rPr>
  </w:style>
  <w:style w:type="paragraph" w:customStyle="1" w:styleId="14">
    <w:name w:val="_Style 3"/>
    <w:basedOn w:val="1"/>
    <w:qFormat/>
    <w:uiPriority w:val="0"/>
    <w:pPr>
      <w:ind w:firstLine="420" w:firstLineChars="200"/>
    </w:pPr>
    <w:rPr>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t1jiance</dc:creator>
  <cp:lastModifiedBy>吴淼清</cp:lastModifiedBy>
  <dcterms:modified xsi:type="dcterms:W3CDTF">2023-07-18T07:08:06Z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