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spacing w:line="560" w:lineRule="exact"/>
        <w:jc w:val="center"/>
        <w:textAlignment w:val="bottom"/>
        <w:rPr>
          <w:rFonts w:ascii="黑体" w:hAnsi="黑体" w:eastAsia="黑体"/>
          <w:b/>
          <w:color w:val="auto"/>
          <w:sz w:val="44"/>
          <w:szCs w:val="44"/>
        </w:rPr>
      </w:pPr>
    </w:p>
    <w:p>
      <w:pPr>
        <w:widowControl/>
        <w:autoSpaceDE w:val="0"/>
        <w:autoSpaceDN w:val="0"/>
        <w:spacing w:line="560" w:lineRule="exact"/>
        <w:jc w:val="center"/>
        <w:textAlignment w:val="bottom"/>
        <w:rPr>
          <w:rFonts w:ascii="黑体" w:hAnsi="黑体" w:eastAsia="黑体"/>
          <w:b/>
          <w:color w:val="auto"/>
          <w:sz w:val="52"/>
          <w:szCs w:val="52"/>
        </w:rPr>
      </w:pPr>
    </w:p>
    <w:p>
      <w:pPr>
        <w:widowControl/>
        <w:autoSpaceDE w:val="0"/>
        <w:autoSpaceDN w:val="0"/>
        <w:spacing w:line="560" w:lineRule="exact"/>
        <w:jc w:val="center"/>
        <w:textAlignment w:val="bottom"/>
        <w:rPr>
          <w:rFonts w:ascii="黑体" w:hAnsi="黑体" w:eastAsia="黑体"/>
          <w:b/>
          <w:color w:val="auto"/>
          <w:sz w:val="52"/>
          <w:szCs w:val="52"/>
        </w:rPr>
      </w:pPr>
    </w:p>
    <w:p>
      <w:pPr>
        <w:widowControl/>
        <w:autoSpaceDE w:val="0"/>
        <w:autoSpaceDN w:val="0"/>
        <w:spacing w:line="360" w:lineRule="auto"/>
        <w:jc w:val="center"/>
        <w:textAlignment w:val="bottom"/>
        <w:rPr>
          <w:rFonts w:ascii="黑体" w:hAnsi="黑体" w:eastAsia="黑体"/>
          <w:color w:val="auto"/>
          <w:sz w:val="52"/>
          <w:szCs w:val="52"/>
        </w:rPr>
      </w:pPr>
      <w:r>
        <w:rPr>
          <w:rFonts w:hint="eastAsia" w:ascii="黑体" w:hAnsi="黑体" w:eastAsia="黑体"/>
          <w:b/>
          <w:color w:val="auto"/>
          <w:sz w:val="52"/>
          <w:szCs w:val="52"/>
        </w:rPr>
        <w:t>杭州萧山国际机场T4航站楼国际中转厅电源敷设项目</w:t>
      </w:r>
      <w:r>
        <w:rPr>
          <w:rFonts w:ascii="黑体" w:hAnsi="黑体" w:eastAsia="黑体"/>
          <w:b/>
          <w:color w:val="auto"/>
          <w:sz w:val="52"/>
          <w:szCs w:val="52"/>
        </w:rPr>
        <w:t>招标文件</w:t>
      </w:r>
    </w:p>
    <w:p>
      <w:pPr>
        <w:widowControl/>
        <w:autoSpaceDE w:val="0"/>
        <w:autoSpaceDN w:val="0"/>
        <w:snapToGrid w:val="0"/>
        <w:spacing w:line="560" w:lineRule="exact"/>
        <w:jc w:val="center"/>
        <w:textAlignment w:val="bottom"/>
        <w:rPr>
          <w:rFonts w:ascii="宋体" w:hAnsi="宋体"/>
          <w:b/>
          <w:color w:val="auto"/>
          <w:sz w:val="44"/>
          <w:szCs w:val="44"/>
        </w:rPr>
      </w:pPr>
    </w:p>
    <w:p>
      <w:pPr>
        <w:widowControl/>
        <w:autoSpaceDE w:val="0"/>
        <w:autoSpaceDN w:val="0"/>
        <w:snapToGrid w:val="0"/>
        <w:spacing w:line="560" w:lineRule="exact"/>
        <w:jc w:val="center"/>
        <w:textAlignment w:val="bottom"/>
        <w:rPr>
          <w:rFonts w:ascii="宋体" w:hAnsi="宋体"/>
          <w:b/>
          <w:color w:val="auto"/>
          <w:sz w:val="32"/>
          <w:szCs w:val="32"/>
        </w:rPr>
      </w:pPr>
    </w:p>
    <w:p>
      <w:pPr>
        <w:widowControl/>
        <w:autoSpaceDE w:val="0"/>
        <w:autoSpaceDN w:val="0"/>
        <w:snapToGrid w:val="0"/>
        <w:spacing w:line="560" w:lineRule="exact"/>
        <w:textAlignment w:val="bottom"/>
        <w:rPr>
          <w:rFonts w:ascii="宋体" w:hAnsi="宋体"/>
          <w:bCs/>
          <w:color w:val="auto"/>
          <w:sz w:val="32"/>
          <w:szCs w:val="32"/>
        </w:rPr>
      </w:pPr>
      <w:r>
        <w:rPr>
          <w:rFonts w:ascii="宋体" w:hAnsi="宋体"/>
          <w:b/>
          <w:color w:val="auto"/>
          <w:sz w:val="32"/>
          <w:szCs w:val="32"/>
        </w:rPr>
        <w:t xml:space="preserve">   </w:t>
      </w:r>
      <w:r>
        <w:rPr>
          <w:rFonts w:hint="eastAsia" w:ascii="宋体" w:hAnsi="宋体"/>
          <w:b/>
          <w:color w:val="auto"/>
          <w:sz w:val="32"/>
          <w:szCs w:val="32"/>
        </w:rPr>
        <w:t xml:space="preserve">                </w:t>
      </w:r>
      <w:r>
        <w:rPr>
          <w:rFonts w:ascii="宋体" w:hAnsi="宋体"/>
          <w:b/>
          <w:color w:val="auto"/>
          <w:sz w:val="32"/>
          <w:szCs w:val="32"/>
        </w:rPr>
        <w:t xml:space="preserve">      </w:t>
      </w:r>
      <w:r>
        <w:rPr>
          <w:rFonts w:hint="eastAsia" w:ascii="宋体" w:hAnsi="宋体"/>
          <w:b/>
          <w:color w:val="auto"/>
          <w:sz w:val="32"/>
          <w:szCs w:val="32"/>
        </w:rPr>
        <w:t xml:space="preserve">    </w:t>
      </w:r>
    </w:p>
    <w:p>
      <w:pPr>
        <w:widowControl/>
        <w:autoSpaceDE w:val="0"/>
        <w:autoSpaceDN w:val="0"/>
        <w:snapToGrid w:val="0"/>
        <w:spacing w:line="560" w:lineRule="exact"/>
        <w:textAlignment w:val="bottom"/>
        <w:rPr>
          <w:rFonts w:ascii="宋体" w:hAnsi="宋体"/>
          <w:b/>
          <w:color w:val="auto"/>
          <w:sz w:val="32"/>
          <w:szCs w:val="32"/>
        </w:rPr>
      </w:pPr>
      <w:r>
        <w:rPr>
          <w:rFonts w:ascii="宋体" w:hAnsi="宋体"/>
          <w:bCs/>
          <w:color w:val="auto"/>
          <w:sz w:val="32"/>
          <w:szCs w:val="32"/>
        </w:rPr>
        <w:t xml:space="preserve">                 </w:t>
      </w:r>
      <w:r>
        <w:rPr>
          <w:rFonts w:hint="eastAsia" w:ascii="宋体" w:hAnsi="宋体"/>
          <w:bCs/>
          <w:color w:val="auto"/>
          <w:sz w:val="32"/>
          <w:szCs w:val="32"/>
        </w:rPr>
        <w:t xml:space="preserve">            </w:t>
      </w:r>
    </w:p>
    <w:p>
      <w:pPr>
        <w:adjustRightInd w:val="0"/>
        <w:snapToGrid w:val="0"/>
        <w:spacing w:line="560" w:lineRule="exact"/>
        <w:jc w:val="center"/>
        <w:textAlignment w:val="bottom"/>
        <w:rPr>
          <w:rFonts w:ascii="宋体" w:hAnsi="宋体"/>
          <w:color w:val="auto"/>
          <w:sz w:val="32"/>
          <w:szCs w:val="32"/>
        </w:rPr>
      </w:pPr>
    </w:p>
    <w:p>
      <w:pPr>
        <w:adjustRightInd w:val="0"/>
        <w:snapToGrid w:val="0"/>
        <w:spacing w:line="560" w:lineRule="exact"/>
        <w:jc w:val="center"/>
        <w:textAlignment w:val="bottom"/>
        <w:rPr>
          <w:rFonts w:ascii="宋体" w:hAnsi="宋体"/>
          <w:color w:val="auto"/>
          <w:sz w:val="32"/>
          <w:szCs w:val="32"/>
        </w:rPr>
      </w:pPr>
    </w:p>
    <w:p>
      <w:pPr>
        <w:adjustRightInd w:val="0"/>
        <w:snapToGrid w:val="0"/>
        <w:spacing w:line="560" w:lineRule="exact"/>
        <w:jc w:val="center"/>
        <w:textAlignment w:val="bottom"/>
        <w:rPr>
          <w:rFonts w:ascii="宋体" w:hAnsi="宋体"/>
          <w:color w:val="auto"/>
          <w:sz w:val="32"/>
          <w:szCs w:val="32"/>
        </w:rPr>
      </w:pPr>
    </w:p>
    <w:p>
      <w:pPr>
        <w:adjustRightInd w:val="0"/>
        <w:snapToGrid w:val="0"/>
        <w:spacing w:line="560" w:lineRule="exact"/>
        <w:jc w:val="center"/>
        <w:textAlignment w:val="bottom"/>
        <w:rPr>
          <w:rFonts w:ascii="宋体" w:hAnsi="宋体"/>
          <w:color w:val="auto"/>
          <w:sz w:val="32"/>
          <w:szCs w:val="32"/>
        </w:rPr>
      </w:pPr>
    </w:p>
    <w:p>
      <w:pPr>
        <w:adjustRightInd w:val="0"/>
        <w:snapToGrid w:val="0"/>
        <w:spacing w:line="560" w:lineRule="exact"/>
        <w:jc w:val="center"/>
        <w:textAlignment w:val="bottom"/>
        <w:rPr>
          <w:rFonts w:ascii="宋体" w:hAnsi="宋体"/>
          <w:color w:val="auto"/>
          <w:sz w:val="32"/>
          <w:szCs w:val="32"/>
        </w:rPr>
      </w:pPr>
    </w:p>
    <w:p>
      <w:pPr>
        <w:adjustRightInd w:val="0"/>
        <w:snapToGrid w:val="0"/>
        <w:spacing w:line="560" w:lineRule="exact"/>
        <w:jc w:val="center"/>
        <w:textAlignment w:val="bottom"/>
        <w:rPr>
          <w:rFonts w:ascii="宋体" w:hAnsi="宋体"/>
          <w:color w:val="auto"/>
          <w:sz w:val="32"/>
          <w:szCs w:val="32"/>
        </w:rPr>
      </w:pPr>
    </w:p>
    <w:p>
      <w:pPr>
        <w:spacing w:line="560" w:lineRule="exact"/>
        <w:jc w:val="center"/>
        <w:rPr>
          <w:rFonts w:eastAsia="黑体" w:cs="Calibri"/>
          <w:color w:val="auto"/>
          <w:sz w:val="32"/>
          <w:szCs w:val="32"/>
        </w:rPr>
      </w:pPr>
      <w:r>
        <w:rPr>
          <w:rFonts w:hint="eastAsia" w:eastAsia="黑体" w:cs="Calibri"/>
          <w:color w:val="auto"/>
          <w:sz w:val="32"/>
          <w:szCs w:val="32"/>
        </w:rPr>
        <w:t>杭州萧山国际机场有限公司</w:t>
      </w:r>
    </w:p>
    <w:p>
      <w:pPr>
        <w:pStyle w:val="5"/>
        <w:spacing w:line="560" w:lineRule="exact"/>
        <w:jc w:val="center"/>
        <w:rPr>
          <w:rFonts w:ascii="Calibri" w:hAnsi="Calibri" w:eastAsia="楷体_GB2312" w:cs="Calibri"/>
          <w:color w:val="auto"/>
          <w:sz w:val="24"/>
          <w:szCs w:val="24"/>
          <w:u w:val="single"/>
        </w:rPr>
      </w:pPr>
      <w:r>
        <w:rPr>
          <w:rFonts w:hint="eastAsia" w:ascii="Calibri" w:hAnsi="Calibri" w:eastAsia="黑体" w:cs="Calibri"/>
          <w:color w:val="auto"/>
          <w:sz w:val="32"/>
          <w:szCs w:val="32"/>
        </w:rPr>
        <w:t>二</w:t>
      </w:r>
      <w:r>
        <w:rPr>
          <w:rFonts w:hint="eastAsia" w:ascii="黑体" w:hAnsi="黑体" w:eastAsia="黑体" w:cs="Calibri"/>
          <w:color w:val="auto"/>
          <w:sz w:val="32"/>
          <w:szCs w:val="32"/>
        </w:rPr>
        <w:t>Ο</w:t>
      </w:r>
      <w:r>
        <w:rPr>
          <w:rFonts w:hint="eastAsia" w:ascii="Calibri" w:hAnsi="Calibri" w:eastAsia="黑体" w:cs="Calibri"/>
          <w:color w:val="auto"/>
          <w:sz w:val="32"/>
          <w:szCs w:val="32"/>
        </w:rPr>
        <w:t>二三年</w:t>
      </w:r>
      <w:r>
        <w:rPr>
          <w:rFonts w:hint="eastAsia" w:ascii="Calibri" w:hAnsi="Calibri" w:eastAsia="黑体" w:cs="Calibri"/>
          <w:color w:val="auto"/>
          <w:sz w:val="32"/>
          <w:szCs w:val="32"/>
          <w:u w:val="single"/>
        </w:rPr>
        <w:t xml:space="preserve"> 七 </w:t>
      </w:r>
      <w:r>
        <w:rPr>
          <w:rFonts w:ascii="Calibri" w:hAnsi="Calibri" w:eastAsia="黑体" w:cs="Calibri"/>
          <w:color w:val="auto"/>
          <w:sz w:val="32"/>
          <w:szCs w:val="32"/>
        </w:rPr>
        <w:t>月</w:t>
      </w:r>
    </w:p>
    <w:p>
      <w:pPr>
        <w:snapToGrid w:val="0"/>
        <w:spacing w:line="560" w:lineRule="exact"/>
        <w:jc w:val="center"/>
        <w:rPr>
          <w:rFonts w:ascii="宋体" w:hAnsi="宋体"/>
          <w:b/>
          <w:bCs/>
          <w:color w:val="auto"/>
          <w:sz w:val="32"/>
          <w:szCs w:val="32"/>
        </w:rPr>
      </w:pPr>
    </w:p>
    <w:p>
      <w:pPr>
        <w:spacing w:line="560" w:lineRule="exact"/>
        <w:jc w:val="center"/>
        <w:rPr>
          <w:b/>
          <w:color w:val="auto"/>
        </w:rPr>
      </w:pPr>
    </w:p>
    <w:p>
      <w:pPr>
        <w:spacing w:line="560" w:lineRule="exact"/>
        <w:jc w:val="center"/>
        <w:rPr>
          <w:b/>
          <w:bCs/>
          <w:color w:val="auto"/>
          <w:sz w:val="44"/>
          <w:szCs w:val="44"/>
        </w:rPr>
        <w:sectPr>
          <w:headerReference r:id="rId3" w:type="default"/>
          <w:footerReference r:id="rId4" w:type="default"/>
          <w:footerReference r:id="rId5" w:type="even"/>
          <w:pgSz w:w="11907" w:h="16840"/>
          <w:pgMar w:top="1134" w:right="1134" w:bottom="1134" w:left="1134" w:header="567" w:footer="567" w:gutter="0"/>
          <w:pgNumType w:start="1"/>
          <w:cols w:space="720" w:num="1"/>
        </w:sectPr>
      </w:pPr>
    </w:p>
    <w:sdt>
      <w:sdtPr>
        <w:rPr>
          <w:rFonts w:ascii="宋体" w:hAnsi="宋体" w:eastAsia="宋体"/>
          <w:color w:val="auto"/>
        </w:rPr>
        <w:id w:val="147480402"/>
        <w15:color w:val="DBDBDB"/>
      </w:sdtPr>
      <w:sdtEndPr>
        <w:rPr>
          <w:rFonts w:asciiTheme="minorHAnsi" w:hAnsiTheme="minorHAnsi" w:eastAsiaTheme="minorEastAsia"/>
          <w:bCs/>
          <w:color w:val="auto"/>
          <w:szCs w:val="44"/>
        </w:rPr>
      </w:sdtEndPr>
      <w:sdtContent>
        <w:p>
          <w:pPr>
            <w:spacing w:line="560" w:lineRule="exact"/>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44"/>
              <w:szCs w:val="44"/>
            </w:rPr>
            <w:t>目录</w:t>
          </w:r>
        </w:p>
        <w:p>
          <w:pPr>
            <w:pStyle w:val="8"/>
            <w:tabs>
              <w:tab w:val="right" w:leader="dot" w:pos="9639"/>
            </w:tabs>
            <w:spacing w:line="560" w:lineRule="exact"/>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28"/>
              <w:szCs w:val="28"/>
            </w:rPr>
            <w:fldChar w:fldCharType="begin"/>
          </w:r>
          <w:r>
            <w:rPr>
              <w:rFonts w:hint="eastAsia" w:ascii="仿宋_GB2312" w:hAnsi="仿宋_GB2312" w:eastAsia="仿宋_GB2312" w:cs="仿宋_GB2312"/>
              <w:b/>
              <w:bCs/>
              <w:color w:val="auto"/>
              <w:sz w:val="28"/>
              <w:szCs w:val="28"/>
            </w:rPr>
            <w:instrText xml:space="preserve">TOC \o "1-3" \h \u </w:instrText>
          </w:r>
          <w:r>
            <w:rPr>
              <w:rFonts w:hint="eastAsia" w:ascii="仿宋_GB2312" w:hAnsi="仿宋_GB2312" w:eastAsia="仿宋_GB2312" w:cs="仿宋_GB2312"/>
              <w:b/>
              <w:bCs/>
              <w:color w:val="auto"/>
              <w:sz w:val="28"/>
              <w:szCs w:val="28"/>
            </w:rPr>
            <w:fldChar w:fldCharType="separate"/>
          </w:r>
          <w:r>
            <w:rPr>
              <w:color w:val="auto"/>
            </w:rPr>
            <w:fldChar w:fldCharType="begin"/>
          </w:r>
          <w:r>
            <w:rPr>
              <w:color w:val="auto"/>
            </w:rPr>
            <w:instrText xml:space="preserve"> HYPERLINK \l "_Toc31731" </w:instrText>
          </w:r>
          <w:r>
            <w:rPr>
              <w:color w:val="auto"/>
            </w:rPr>
            <w:fldChar w:fldCharType="separate"/>
          </w:r>
          <w:r>
            <w:rPr>
              <w:rFonts w:hint="eastAsia" w:ascii="仿宋_GB2312" w:hAnsi="仿宋_GB2312" w:eastAsia="仿宋_GB2312" w:cs="仿宋_GB2312"/>
              <w:color w:val="auto"/>
              <w:sz w:val="32"/>
              <w:szCs w:val="32"/>
            </w:rPr>
            <w:t>第一章 招标公告</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_Toc31731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fldChar w:fldCharType="end"/>
          </w:r>
        </w:p>
        <w:p>
          <w:pPr>
            <w:pStyle w:val="8"/>
            <w:tabs>
              <w:tab w:val="right" w:leader="dot" w:pos="9639"/>
            </w:tabs>
            <w:spacing w:line="560" w:lineRule="exact"/>
            <w:rPr>
              <w:rFonts w:ascii="仿宋_GB2312" w:hAnsi="仿宋_GB2312" w:eastAsia="仿宋_GB2312" w:cs="仿宋_GB2312"/>
              <w:color w:val="auto"/>
              <w:sz w:val="32"/>
              <w:szCs w:val="32"/>
            </w:rPr>
          </w:pPr>
          <w:r>
            <w:rPr>
              <w:color w:val="auto"/>
            </w:rPr>
            <w:fldChar w:fldCharType="begin"/>
          </w:r>
          <w:r>
            <w:rPr>
              <w:color w:val="auto"/>
            </w:rPr>
            <w:instrText xml:space="preserve"> HYPERLINK \l "_Toc31305" </w:instrText>
          </w:r>
          <w:r>
            <w:rPr>
              <w:color w:val="auto"/>
            </w:rPr>
            <w:fldChar w:fldCharType="separate"/>
          </w:r>
          <w:r>
            <w:rPr>
              <w:rFonts w:hint="eastAsia" w:ascii="仿宋_GB2312" w:hAnsi="仿宋_GB2312" w:eastAsia="仿宋_GB2312" w:cs="仿宋_GB2312"/>
              <w:color w:val="auto"/>
              <w:sz w:val="32"/>
              <w:szCs w:val="32"/>
            </w:rPr>
            <w:t>第二章 评标办法</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_Toc31305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fldChar w:fldCharType="end"/>
          </w:r>
        </w:p>
        <w:p>
          <w:pPr>
            <w:pStyle w:val="8"/>
            <w:tabs>
              <w:tab w:val="right" w:leader="dot" w:pos="9639"/>
            </w:tabs>
            <w:spacing w:line="560" w:lineRule="exact"/>
            <w:rPr>
              <w:rFonts w:ascii="仿宋_GB2312" w:hAnsi="仿宋_GB2312" w:eastAsia="仿宋_GB2312" w:cs="仿宋_GB2312"/>
              <w:color w:val="auto"/>
              <w:sz w:val="32"/>
              <w:szCs w:val="32"/>
            </w:rPr>
          </w:pPr>
          <w:r>
            <w:rPr>
              <w:color w:val="auto"/>
            </w:rPr>
            <w:fldChar w:fldCharType="begin"/>
          </w:r>
          <w:r>
            <w:rPr>
              <w:color w:val="auto"/>
            </w:rPr>
            <w:instrText xml:space="preserve"> HYPERLINK \l "_Toc26663" </w:instrText>
          </w:r>
          <w:r>
            <w:rPr>
              <w:color w:val="auto"/>
            </w:rPr>
            <w:fldChar w:fldCharType="separate"/>
          </w:r>
          <w:r>
            <w:rPr>
              <w:rFonts w:hint="eastAsia" w:ascii="仿宋_GB2312" w:hAnsi="仿宋_GB2312" w:eastAsia="仿宋_GB2312" w:cs="仿宋_GB2312"/>
              <w:color w:val="auto"/>
              <w:sz w:val="32"/>
              <w:szCs w:val="32"/>
            </w:rPr>
            <w:t>第三章 合同条款及格式</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_Toc26663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fldChar w:fldCharType="end"/>
          </w:r>
        </w:p>
        <w:p>
          <w:pPr>
            <w:pStyle w:val="8"/>
            <w:tabs>
              <w:tab w:val="right" w:leader="dot" w:pos="9639"/>
            </w:tabs>
            <w:spacing w:line="560" w:lineRule="exact"/>
            <w:rPr>
              <w:rFonts w:ascii="仿宋_GB2312" w:hAnsi="仿宋_GB2312" w:eastAsia="仿宋_GB2312" w:cs="仿宋_GB2312"/>
              <w:color w:val="auto"/>
              <w:sz w:val="32"/>
              <w:szCs w:val="32"/>
            </w:rPr>
          </w:pPr>
          <w:r>
            <w:rPr>
              <w:color w:val="auto"/>
            </w:rPr>
            <w:fldChar w:fldCharType="begin"/>
          </w:r>
          <w:r>
            <w:rPr>
              <w:color w:val="auto"/>
            </w:rPr>
            <w:instrText xml:space="preserve"> HYPERLINK \l "_Toc17563" </w:instrText>
          </w:r>
          <w:r>
            <w:rPr>
              <w:color w:val="auto"/>
            </w:rPr>
            <w:fldChar w:fldCharType="separate"/>
          </w:r>
          <w:r>
            <w:rPr>
              <w:rFonts w:hint="eastAsia" w:ascii="仿宋_GB2312" w:hAnsi="仿宋_GB2312" w:eastAsia="仿宋_GB2312" w:cs="仿宋_GB2312"/>
              <w:color w:val="auto"/>
              <w:sz w:val="32"/>
              <w:szCs w:val="32"/>
            </w:rPr>
            <w:t>第四章 工程量清单</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_Toc17563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56</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fldChar w:fldCharType="end"/>
          </w:r>
        </w:p>
        <w:p>
          <w:pPr>
            <w:pStyle w:val="8"/>
            <w:tabs>
              <w:tab w:val="right" w:leader="dot" w:pos="9639"/>
            </w:tabs>
            <w:spacing w:line="560" w:lineRule="exact"/>
            <w:rPr>
              <w:rFonts w:ascii="仿宋_GB2312" w:hAnsi="仿宋_GB2312" w:eastAsia="仿宋_GB2312" w:cs="仿宋_GB2312"/>
              <w:color w:val="auto"/>
              <w:sz w:val="32"/>
              <w:szCs w:val="32"/>
            </w:rPr>
          </w:pPr>
          <w:r>
            <w:rPr>
              <w:color w:val="auto"/>
            </w:rPr>
            <w:fldChar w:fldCharType="begin"/>
          </w:r>
          <w:r>
            <w:rPr>
              <w:color w:val="auto"/>
            </w:rPr>
            <w:instrText xml:space="preserve"> HYPERLINK \l "_Toc23300" </w:instrText>
          </w:r>
          <w:r>
            <w:rPr>
              <w:color w:val="auto"/>
            </w:rPr>
            <w:fldChar w:fldCharType="separate"/>
          </w:r>
          <w:r>
            <w:rPr>
              <w:rFonts w:hint="eastAsia" w:ascii="仿宋_GB2312" w:hAnsi="仿宋_GB2312" w:eastAsia="仿宋_GB2312" w:cs="仿宋_GB2312"/>
              <w:color w:val="auto"/>
              <w:sz w:val="32"/>
              <w:szCs w:val="32"/>
            </w:rPr>
            <w:t>第五章 技术标准及要求</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_Toc23300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58</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fldChar w:fldCharType="end"/>
          </w:r>
        </w:p>
        <w:p>
          <w:pPr>
            <w:pStyle w:val="8"/>
            <w:tabs>
              <w:tab w:val="right" w:leader="dot" w:pos="9639"/>
            </w:tabs>
            <w:spacing w:line="560" w:lineRule="exact"/>
            <w:rPr>
              <w:rFonts w:ascii="仿宋_GB2312" w:hAnsi="仿宋_GB2312" w:eastAsia="仿宋_GB2312" w:cs="仿宋_GB2312"/>
              <w:color w:val="auto"/>
              <w:sz w:val="32"/>
              <w:szCs w:val="32"/>
            </w:rPr>
          </w:pPr>
          <w:r>
            <w:rPr>
              <w:color w:val="auto"/>
            </w:rPr>
            <w:fldChar w:fldCharType="begin"/>
          </w:r>
          <w:r>
            <w:rPr>
              <w:color w:val="auto"/>
            </w:rPr>
            <w:instrText xml:space="preserve"> HYPERLINK \l "_Toc31406" </w:instrText>
          </w:r>
          <w:r>
            <w:rPr>
              <w:color w:val="auto"/>
            </w:rPr>
            <w:fldChar w:fldCharType="separate"/>
          </w:r>
          <w:r>
            <w:rPr>
              <w:rFonts w:hint="eastAsia" w:ascii="仿宋_GB2312" w:hAnsi="仿宋_GB2312" w:eastAsia="仿宋_GB2312" w:cs="仿宋_GB2312"/>
              <w:color w:val="auto"/>
              <w:sz w:val="32"/>
              <w:szCs w:val="32"/>
            </w:rPr>
            <w:t>第六章 投标文件格式</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_Toc31406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63</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fldChar w:fldCharType="end"/>
          </w:r>
        </w:p>
        <w:p>
          <w:pPr>
            <w:pStyle w:val="8"/>
            <w:tabs>
              <w:tab w:val="right" w:leader="dot" w:pos="9639"/>
            </w:tabs>
            <w:spacing w:line="560" w:lineRule="exact"/>
            <w:rPr>
              <w:rFonts w:ascii="仿宋_GB2312" w:hAnsi="仿宋_GB2312" w:eastAsia="仿宋_GB2312" w:cs="仿宋_GB2312"/>
              <w:color w:val="auto"/>
              <w:sz w:val="28"/>
              <w:szCs w:val="28"/>
            </w:rPr>
          </w:pPr>
          <w:r>
            <w:rPr>
              <w:color w:val="auto"/>
            </w:rPr>
            <w:fldChar w:fldCharType="begin"/>
          </w:r>
          <w:r>
            <w:rPr>
              <w:color w:val="auto"/>
            </w:rPr>
            <w:instrText xml:space="preserve"> HYPERLINK \l "_Toc114" </w:instrText>
          </w:r>
          <w:r>
            <w:rPr>
              <w:color w:val="auto"/>
            </w:rPr>
            <w:fldChar w:fldCharType="separate"/>
          </w:r>
          <w:r>
            <w:rPr>
              <w:rFonts w:hint="eastAsia" w:ascii="仿宋_GB2312" w:hAnsi="仿宋_GB2312" w:eastAsia="仿宋_GB2312" w:cs="仿宋_GB2312"/>
              <w:color w:val="auto"/>
              <w:sz w:val="32"/>
              <w:szCs w:val="32"/>
            </w:rPr>
            <w:t>第七章 航站楼施工围挡管理标准</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_Toc114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70</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fldChar w:fldCharType="end"/>
          </w:r>
        </w:p>
        <w:p>
          <w:pPr>
            <w:spacing w:line="560" w:lineRule="exact"/>
            <w:rPr>
              <w:b/>
              <w:bCs/>
              <w:color w:val="auto"/>
              <w:sz w:val="44"/>
              <w:szCs w:val="44"/>
            </w:rPr>
          </w:pPr>
          <w:r>
            <w:rPr>
              <w:rFonts w:hint="eastAsia" w:ascii="仿宋_GB2312" w:hAnsi="仿宋_GB2312" w:eastAsia="仿宋_GB2312" w:cs="仿宋_GB2312"/>
              <w:bCs/>
              <w:color w:val="auto"/>
              <w:sz w:val="28"/>
              <w:szCs w:val="28"/>
            </w:rPr>
            <w:fldChar w:fldCharType="end"/>
          </w:r>
        </w:p>
      </w:sdtContent>
    </w:sdt>
    <w:p>
      <w:pPr>
        <w:spacing w:line="560" w:lineRule="exact"/>
        <w:jc w:val="center"/>
        <w:rPr>
          <w:b/>
          <w:bCs/>
          <w:color w:val="auto"/>
          <w:sz w:val="44"/>
          <w:szCs w:val="44"/>
        </w:rPr>
      </w:pPr>
    </w:p>
    <w:p>
      <w:pPr>
        <w:spacing w:line="560" w:lineRule="exact"/>
        <w:jc w:val="center"/>
        <w:rPr>
          <w:b/>
          <w:bCs/>
          <w:color w:val="auto"/>
          <w:sz w:val="44"/>
          <w:szCs w:val="44"/>
        </w:rPr>
      </w:pPr>
    </w:p>
    <w:p>
      <w:pPr>
        <w:spacing w:line="560" w:lineRule="exact"/>
        <w:jc w:val="center"/>
        <w:rPr>
          <w:b/>
          <w:bCs/>
          <w:color w:val="auto"/>
          <w:sz w:val="44"/>
          <w:szCs w:val="44"/>
        </w:rPr>
      </w:pPr>
    </w:p>
    <w:p>
      <w:pPr>
        <w:spacing w:line="560" w:lineRule="exact"/>
        <w:jc w:val="center"/>
        <w:rPr>
          <w:b/>
          <w:bCs/>
          <w:color w:val="auto"/>
          <w:sz w:val="44"/>
          <w:szCs w:val="44"/>
        </w:rPr>
      </w:pPr>
    </w:p>
    <w:p>
      <w:pPr>
        <w:spacing w:line="560" w:lineRule="exact"/>
        <w:jc w:val="center"/>
        <w:rPr>
          <w:b/>
          <w:bCs/>
          <w:color w:val="auto"/>
          <w:sz w:val="44"/>
          <w:szCs w:val="44"/>
        </w:rPr>
      </w:pPr>
    </w:p>
    <w:p>
      <w:pPr>
        <w:spacing w:line="560" w:lineRule="exact"/>
        <w:jc w:val="center"/>
        <w:rPr>
          <w:b/>
          <w:bCs/>
          <w:color w:val="auto"/>
          <w:sz w:val="44"/>
          <w:szCs w:val="44"/>
        </w:rPr>
      </w:pPr>
    </w:p>
    <w:p>
      <w:pPr>
        <w:spacing w:line="560" w:lineRule="exact"/>
        <w:jc w:val="center"/>
        <w:rPr>
          <w:b/>
          <w:bCs/>
          <w:color w:val="auto"/>
          <w:sz w:val="44"/>
          <w:szCs w:val="44"/>
        </w:rPr>
      </w:pPr>
    </w:p>
    <w:p>
      <w:pPr>
        <w:spacing w:line="560" w:lineRule="exact"/>
        <w:jc w:val="center"/>
        <w:rPr>
          <w:b/>
          <w:bCs/>
          <w:color w:val="auto"/>
          <w:sz w:val="44"/>
          <w:szCs w:val="44"/>
        </w:rPr>
      </w:pPr>
    </w:p>
    <w:p>
      <w:pPr>
        <w:spacing w:line="560" w:lineRule="exact"/>
        <w:jc w:val="center"/>
        <w:rPr>
          <w:b/>
          <w:bCs/>
          <w:color w:val="auto"/>
          <w:sz w:val="44"/>
          <w:szCs w:val="44"/>
        </w:rPr>
      </w:pPr>
    </w:p>
    <w:p>
      <w:pPr>
        <w:spacing w:line="560" w:lineRule="exact"/>
        <w:jc w:val="center"/>
        <w:rPr>
          <w:b/>
          <w:bCs/>
          <w:color w:val="auto"/>
          <w:sz w:val="44"/>
          <w:szCs w:val="44"/>
        </w:rPr>
      </w:pPr>
    </w:p>
    <w:p>
      <w:pPr>
        <w:spacing w:line="560" w:lineRule="exact"/>
        <w:jc w:val="center"/>
        <w:rPr>
          <w:b/>
          <w:bCs/>
          <w:color w:val="auto"/>
          <w:sz w:val="44"/>
          <w:szCs w:val="44"/>
        </w:rPr>
      </w:pPr>
    </w:p>
    <w:p>
      <w:pPr>
        <w:spacing w:line="560" w:lineRule="exact"/>
        <w:jc w:val="center"/>
        <w:rPr>
          <w:b/>
          <w:bCs/>
          <w:color w:val="auto"/>
          <w:sz w:val="44"/>
          <w:szCs w:val="44"/>
        </w:rPr>
      </w:pPr>
    </w:p>
    <w:p>
      <w:pPr>
        <w:spacing w:line="560" w:lineRule="exact"/>
        <w:jc w:val="center"/>
        <w:rPr>
          <w:b/>
          <w:bCs/>
          <w:color w:val="auto"/>
          <w:sz w:val="44"/>
          <w:szCs w:val="44"/>
        </w:rPr>
      </w:pPr>
    </w:p>
    <w:p>
      <w:pPr>
        <w:spacing w:line="560" w:lineRule="exact"/>
        <w:rPr>
          <w:b/>
          <w:bCs/>
          <w:color w:val="auto"/>
          <w:sz w:val="44"/>
          <w:szCs w:val="44"/>
        </w:rPr>
      </w:pPr>
    </w:p>
    <w:p>
      <w:pPr>
        <w:pStyle w:val="9"/>
        <w:pageBreakBefore/>
        <w:spacing w:before="0" w:after="0" w:line="560" w:lineRule="exact"/>
        <w:rPr>
          <w:color w:val="auto"/>
        </w:rPr>
        <w:sectPr>
          <w:footerReference r:id="rId6" w:type="default"/>
          <w:pgSz w:w="11907" w:h="16840"/>
          <w:pgMar w:top="1134" w:right="1134" w:bottom="1134" w:left="1134" w:header="851" w:footer="992" w:gutter="0"/>
          <w:cols w:space="720" w:num="1"/>
          <w:docGrid w:linePitch="312" w:charSpace="0"/>
        </w:sectPr>
      </w:pPr>
      <w:bookmarkStart w:id="0" w:name="_Toc448097401"/>
    </w:p>
    <w:p>
      <w:pPr>
        <w:pStyle w:val="9"/>
        <w:pageBreakBefore/>
        <w:spacing w:before="0" w:after="0" w:line="560" w:lineRule="exact"/>
        <w:rPr>
          <w:color w:val="auto"/>
        </w:rPr>
      </w:pPr>
      <w:bookmarkStart w:id="1" w:name="_Toc31731"/>
      <w:r>
        <w:rPr>
          <w:rFonts w:hint="eastAsia"/>
          <w:color w:val="auto"/>
        </w:rPr>
        <w:t>第一章 招标公告</w:t>
      </w:r>
      <w:bookmarkEnd w:id="0"/>
      <w:bookmarkEnd w:id="1"/>
    </w:p>
    <w:p>
      <w:pPr>
        <w:widowControl/>
        <w:snapToGrid w:val="0"/>
        <w:spacing w:line="360" w:lineRule="exact"/>
        <w:jc w:val="left"/>
        <w:rPr>
          <w:rFonts w:ascii="仿宋_GB2312" w:hAnsi="仿宋_GB2312" w:eastAsia="仿宋_GB2312" w:cs="仿宋_GB2312"/>
          <w:color w:val="auto"/>
          <w:kern w:val="0"/>
          <w:sz w:val="28"/>
          <w:szCs w:val="28"/>
        </w:rPr>
      </w:pPr>
      <w:r>
        <w:rPr>
          <w:rFonts w:hint="eastAsia" w:ascii="仿宋_GB2312" w:hAnsi="仿宋_GB2312" w:eastAsia="仿宋_GB2312" w:cs="仿宋_GB2312"/>
          <w:b/>
          <w:bCs/>
          <w:color w:val="auto"/>
          <w:kern w:val="0"/>
          <w:sz w:val="28"/>
          <w:szCs w:val="28"/>
        </w:rPr>
        <w:t>一、招标内容</w:t>
      </w:r>
    </w:p>
    <w:p>
      <w:pPr>
        <w:widowControl/>
        <w:numPr>
          <w:ilvl w:val="0"/>
          <w:numId w:val="1"/>
        </w:numPr>
        <w:adjustRightInd w:val="0"/>
        <w:snapToGrid w:val="0"/>
        <w:spacing w:line="360" w:lineRule="exact"/>
        <w:ind w:firstLine="560" w:firstLineChars="200"/>
        <w:rPr>
          <w:rFonts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项目概况：对T4中转厅进行强电改造以满足各单位用电需求。</w:t>
      </w:r>
    </w:p>
    <w:p>
      <w:pPr>
        <w:widowControl/>
        <w:numPr>
          <w:ilvl w:val="0"/>
          <w:numId w:val="1"/>
        </w:numPr>
        <w:adjustRightInd w:val="0"/>
        <w:snapToGrid w:val="0"/>
        <w:spacing w:line="360" w:lineRule="exact"/>
        <w:ind w:firstLine="560" w:firstLineChars="200"/>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实施内容：详见工程量清单和技术标准及要求。</w:t>
      </w:r>
    </w:p>
    <w:p>
      <w:pPr>
        <w:widowControl/>
        <w:numPr>
          <w:ilvl w:val="0"/>
          <w:numId w:val="1"/>
        </w:numPr>
        <w:adjustRightInd w:val="0"/>
        <w:snapToGrid w:val="0"/>
        <w:spacing w:line="360" w:lineRule="exact"/>
        <w:ind w:firstLine="560" w:firstLineChars="200"/>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本项目设一个标段，要求甲方通知进场后</w:t>
      </w:r>
      <w:r>
        <w:rPr>
          <w:rFonts w:hint="eastAsia" w:ascii="仿宋_GB2312" w:hAnsi="仿宋_GB2312" w:eastAsia="仿宋_GB2312" w:cs="仿宋_GB2312"/>
          <w:color w:val="auto"/>
          <w:kern w:val="0"/>
          <w:sz w:val="28"/>
          <w:szCs w:val="28"/>
          <w:lang w:val="en-US" w:eastAsia="zh-CN"/>
        </w:rPr>
        <w:t>10</w:t>
      </w:r>
      <w:r>
        <w:rPr>
          <w:rFonts w:hint="eastAsia" w:ascii="仿宋_GB2312" w:hAnsi="仿宋_GB2312" w:eastAsia="仿宋_GB2312" w:cs="仿宋_GB2312"/>
          <w:color w:val="auto"/>
          <w:kern w:val="0"/>
          <w:sz w:val="28"/>
          <w:szCs w:val="28"/>
        </w:rPr>
        <w:t>日历天内完工。</w:t>
      </w:r>
    </w:p>
    <w:p>
      <w:pPr>
        <w:widowControl/>
        <w:snapToGrid w:val="0"/>
        <w:spacing w:line="360" w:lineRule="exact"/>
        <w:jc w:val="left"/>
        <w:rPr>
          <w:rFonts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二、资格要求 </w:t>
      </w:r>
    </w:p>
    <w:p>
      <w:pPr>
        <w:widowControl/>
        <w:numPr>
          <w:ilvl w:val="0"/>
          <w:numId w:val="2"/>
        </w:numPr>
        <w:adjustRightInd w:val="0"/>
        <w:snapToGrid w:val="0"/>
        <w:spacing w:line="360" w:lineRule="exact"/>
        <w:ind w:firstLine="560" w:firstLineChars="200"/>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kern w:val="0"/>
          <w:sz w:val="28"/>
          <w:szCs w:val="28"/>
        </w:rPr>
        <w:t>投标人具备</w:t>
      </w:r>
      <w:r>
        <w:rPr>
          <w:rFonts w:hint="eastAsia" w:ascii="仿宋_GB2312" w:hAnsi="仿宋_GB2312" w:eastAsia="仿宋_GB2312" w:cs="仿宋_GB2312"/>
          <w:b/>
          <w:bCs/>
          <w:color w:val="auto"/>
          <w:kern w:val="0"/>
          <w:sz w:val="28"/>
          <w:szCs w:val="28"/>
          <w:u w:val="single"/>
        </w:rPr>
        <w:t>建筑工程施工总承包三级</w:t>
      </w:r>
      <w:r>
        <w:rPr>
          <w:rFonts w:hint="eastAsia" w:ascii="仿宋_GB2312" w:hAnsi="仿宋_GB2312" w:eastAsia="仿宋_GB2312" w:cs="仿宋_GB2312"/>
          <w:b/>
          <w:bCs/>
          <w:color w:val="auto"/>
          <w:kern w:val="0"/>
          <w:sz w:val="28"/>
          <w:szCs w:val="28"/>
        </w:rPr>
        <w:t>或</w:t>
      </w:r>
      <w:r>
        <w:rPr>
          <w:rFonts w:hint="eastAsia" w:ascii="仿宋_GB2312" w:hAnsi="仿宋_GB2312" w:eastAsia="仿宋_GB2312" w:cs="仿宋_GB2312"/>
          <w:b/>
          <w:bCs/>
          <w:color w:val="auto"/>
          <w:kern w:val="0"/>
          <w:sz w:val="28"/>
          <w:szCs w:val="28"/>
          <w:u w:val="single"/>
        </w:rPr>
        <w:t>建筑装修装饰工程专业承包二级</w:t>
      </w:r>
      <w:r>
        <w:rPr>
          <w:rFonts w:hint="eastAsia" w:ascii="仿宋_GB2312" w:hAnsi="仿宋_GB2312" w:eastAsia="仿宋_GB2312" w:cs="仿宋_GB2312"/>
          <w:b/>
          <w:bCs/>
          <w:color w:val="auto"/>
          <w:kern w:val="0"/>
          <w:sz w:val="28"/>
          <w:szCs w:val="28"/>
        </w:rPr>
        <w:t>及以上资质。</w:t>
      </w:r>
    </w:p>
    <w:p>
      <w:pPr>
        <w:widowControl/>
        <w:numPr>
          <w:ilvl w:val="0"/>
          <w:numId w:val="2"/>
        </w:numPr>
        <w:adjustRightInd w:val="0"/>
        <w:snapToGrid w:val="0"/>
        <w:spacing w:line="360" w:lineRule="exact"/>
        <w:ind w:firstLine="560" w:firstLineChars="200"/>
        <w:rPr>
          <w:rFonts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投标人应具有有效的《安全生产许可证》。</w:t>
      </w:r>
    </w:p>
    <w:p>
      <w:pPr>
        <w:widowControl/>
        <w:numPr>
          <w:ilvl w:val="0"/>
          <w:numId w:val="2"/>
        </w:numPr>
        <w:adjustRightInd w:val="0"/>
        <w:snapToGrid w:val="0"/>
        <w:spacing w:line="360" w:lineRule="exact"/>
        <w:ind w:firstLine="560" w:firstLineChars="200"/>
        <w:rPr>
          <w:rFonts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项目经理资格要求：具有建筑专业二级及以上注册建造师执业证书。</w:t>
      </w:r>
    </w:p>
    <w:p>
      <w:pPr>
        <w:widowControl/>
        <w:numPr>
          <w:ilvl w:val="0"/>
          <w:numId w:val="2"/>
        </w:numPr>
        <w:adjustRightInd w:val="0"/>
        <w:snapToGrid w:val="0"/>
        <w:spacing w:line="360" w:lineRule="exact"/>
        <w:ind w:firstLine="560" w:firstLineChars="200"/>
        <w:rPr>
          <w:rFonts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本项目不接受联合体投标。</w:t>
      </w:r>
    </w:p>
    <w:p>
      <w:pPr>
        <w:widowControl/>
        <w:snapToGrid w:val="0"/>
        <w:spacing w:line="360" w:lineRule="exact"/>
        <w:jc w:val="left"/>
        <w:rPr>
          <w:rFonts w:ascii="仿宋_GB2312" w:hAnsi="仿宋_GB2312" w:eastAsia="仿宋_GB2312" w:cs="仿宋_GB2312"/>
          <w:b/>
          <w:bCs/>
          <w:color w:val="auto"/>
          <w:kern w:val="0"/>
          <w:sz w:val="28"/>
          <w:szCs w:val="28"/>
        </w:rPr>
      </w:pPr>
      <w:bookmarkStart w:id="2" w:name="_Toc448097402"/>
      <w:bookmarkStart w:id="3" w:name="_Toc448097403"/>
      <w:r>
        <w:rPr>
          <w:rFonts w:hint="eastAsia" w:ascii="仿宋_GB2312" w:hAnsi="仿宋_GB2312" w:eastAsia="仿宋_GB2312" w:cs="仿宋_GB2312"/>
          <w:b/>
          <w:bCs/>
          <w:color w:val="auto"/>
          <w:kern w:val="0"/>
          <w:sz w:val="28"/>
          <w:szCs w:val="28"/>
        </w:rPr>
        <w:t>三、招标文件获取</w:t>
      </w:r>
    </w:p>
    <w:p>
      <w:pPr>
        <w:keepNext w:val="0"/>
        <w:keepLines w:val="0"/>
        <w:pageBreakBefore w:val="0"/>
        <w:widowControl w:val="0"/>
        <w:kinsoku/>
        <w:wordWrap w:val="0"/>
        <w:overflowPunct/>
        <w:topLinePunct w:val="0"/>
        <w:autoSpaceDE/>
        <w:autoSpaceDN/>
        <w:bidi w:val="0"/>
        <w:adjustRightInd/>
        <w:snapToGrid w:val="0"/>
        <w:spacing w:line="360" w:lineRule="exact"/>
        <w:ind w:left="0" w:leftChars="0" w:right="0" w:rightChars="0" w:firstLine="560" w:firstLineChars="200"/>
        <w:jc w:val="both"/>
        <w:textAlignment w:val="auto"/>
        <w:outlineLvl w:val="9"/>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凡符合资格条件并有投标意向的潜在投标人，请通过杭州萧山国际机场有限公司主页</w:t>
      </w:r>
      <w:r>
        <w:rPr>
          <w:rFonts w:ascii="仿宋_GB2312" w:hAnsi="仿宋_GB2312" w:eastAsia="仿宋_GB2312" w:cs="仿宋_GB2312"/>
          <w:color w:val="auto"/>
          <w:sz w:val="28"/>
          <w:szCs w:val="28"/>
        </w:rPr>
        <w:t>http://www.hzairport.com/tender/index.html</w:t>
      </w:r>
      <w:r>
        <w:rPr>
          <w:rFonts w:hint="eastAsia" w:ascii="仿宋_GB2312" w:hAnsi="仿宋_GB2312" w:eastAsia="仿宋_GB2312" w:cs="仿宋_GB2312"/>
          <w:color w:val="auto"/>
          <w:kern w:val="0"/>
          <w:sz w:val="28"/>
          <w:szCs w:val="28"/>
        </w:rPr>
        <w:t>自行下载招标文件</w:t>
      </w:r>
      <w:r>
        <w:rPr>
          <w:rFonts w:hint="eastAsia" w:ascii="仿宋_GB2312" w:hAnsi="仿宋_GB2312" w:eastAsia="仿宋_GB2312" w:cs="仿宋_GB2312"/>
          <w:color w:val="auto"/>
          <w:sz w:val="28"/>
          <w:szCs w:val="28"/>
        </w:rPr>
        <w:t>。</w:t>
      </w:r>
    </w:p>
    <w:p>
      <w:pPr>
        <w:snapToGrid w:val="0"/>
        <w:spacing w:line="360" w:lineRule="exact"/>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四、踏勘现场</w:t>
      </w:r>
    </w:p>
    <w:p>
      <w:pPr>
        <w:snapToGrid w:val="0"/>
        <w:spacing w:line="360" w:lineRule="exact"/>
        <w:ind w:firstLine="560" w:firstLineChars="200"/>
        <w:rPr>
          <w:rFonts w:ascii="仿宋_GB2312" w:hAnsi="仿宋_GB2312" w:eastAsia="仿宋_GB2312" w:cs="仿宋_GB2312"/>
          <w:b/>
          <w:bCs/>
          <w:color w:val="auto"/>
          <w:kern w:val="0"/>
          <w:sz w:val="28"/>
          <w:szCs w:val="28"/>
        </w:rPr>
      </w:pPr>
      <w:r>
        <w:rPr>
          <w:rFonts w:hint="eastAsia" w:ascii="仿宋_GB2312" w:hAnsi="仿宋_GB2312" w:eastAsia="仿宋_GB2312" w:cs="仿宋_GB2312"/>
          <w:color w:val="auto"/>
          <w:sz w:val="28"/>
          <w:szCs w:val="28"/>
        </w:rPr>
        <w:t>招标人组织踏勘现场，集中踏勘时间为</w:t>
      </w:r>
      <w:r>
        <w:rPr>
          <w:rFonts w:hint="eastAsia" w:ascii="仿宋_GB2312" w:hAnsi="仿宋_GB2312" w:eastAsia="仿宋_GB2312" w:cs="仿宋_GB2312"/>
          <w:color w:val="auto"/>
          <w:kern w:val="0"/>
          <w:sz w:val="28"/>
          <w:szCs w:val="28"/>
          <w:lang w:val="en-US" w:eastAsia="zh-CN"/>
        </w:rPr>
        <w:t>2023</w:t>
      </w:r>
      <w:r>
        <w:rPr>
          <w:rFonts w:hint="eastAsia" w:ascii="仿宋_GB2312" w:hAnsi="仿宋_GB2312" w:eastAsia="仿宋_GB2312" w:cs="仿宋_GB2312"/>
          <w:color w:val="auto"/>
          <w:kern w:val="0"/>
          <w:sz w:val="28"/>
          <w:szCs w:val="28"/>
        </w:rPr>
        <w:t>年</w:t>
      </w:r>
      <w:r>
        <w:rPr>
          <w:rFonts w:hint="eastAsia" w:ascii="仿宋_GB2312" w:hAnsi="仿宋_GB2312" w:eastAsia="仿宋_GB2312" w:cs="仿宋_GB2312"/>
          <w:color w:val="auto"/>
          <w:kern w:val="0"/>
          <w:sz w:val="28"/>
          <w:szCs w:val="28"/>
          <w:lang w:val="en-US" w:eastAsia="zh-CN"/>
        </w:rPr>
        <w:t>7</w:t>
      </w:r>
      <w:r>
        <w:rPr>
          <w:rFonts w:hint="eastAsia" w:ascii="仿宋_GB2312" w:hAnsi="仿宋_GB2312" w:eastAsia="仿宋_GB2312" w:cs="仿宋_GB2312"/>
          <w:color w:val="auto"/>
          <w:kern w:val="0"/>
          <w:sz w:val="28"/>
          <w:szCs w:val="28"/>
        </w:rPr>
        <w:t>月</w:t>
      </w:r>
      <w:r>
        <w:rPr>
          <w:rFonts w:hint="eastAsia" w:ascii="仿宋_GB2312" w:hAnsi="仿宋_GB2312" w:eastAsia="仿宋_GB2312" w:cs="仿宋_GB2312"/>
          <w:color w:val="auto"/>
          <w:kern w:val="0"/>
          <w:sz w:val="28"/>
          <w:szCs w:val="28"/>
          <w:lang w:val="en-US" w:eastAsia="zh-CN"/>
        </w:rPr>
        <w:t>21</w:t>
      </w:r>
      <w:r>
        <w:rPr>
          <w:rFonts w:hint="eastAsia" w:ascii="仿宋_GB2312" w:hAnsi="仿宋_GB2312" w:eastAsia="仿宋_GB2312" w:cs="仿宋_GB2312"/>
          <w:color w:val="auto"/>
          <w:kern w:val="0"/>
          <w:sz w:val="28"/>
          <w:szCs w:val="28"/>
        </w:rPr>
        <w:t>日</w:t>
      </w:r>
      <w:r>
        <w:rPr>
          <w:rFonts w:hint="eastAsia" w:ascii="仿宋_GB2312" w:hAnsi="仿宋_GB2312" w:eastAsia="仿宋_GB2312" w:cs="仿宋_GB2312"/>
          <w:color w:val="auto"/>
          <w:kern w:val="0"/>
          <w:sz w:val="28"/>
          <w:szCs w:val="28"/>
          <w:lang w:val="en-US" w:eastAsia="zh-CN"/>
        </w:rPr>
        <w:t>9</w:t>
      </w:r>
      <w:r>
        <w:rPr>
          <w:rFonts w:hint="eastAsia" w:ascii="仿宋_GB2312" w:hAnsi="仿宋_GB2312" w:eastAsia="仿宋_GB2312" w:cs="仿宋_GB2312"/>
          <w:color w:val="auto"/>
          <w:kern w:val="0"/>
          <w:sz w:val="28"/>
          <w:szCs w:val="28"/>
        </w:rPr>
        <w:t>时</w:t>
      </w:r>
      <w:r>
        <w:rPr>
          <w:rFonts w:hint="eastAsia" w:ascii="仿宋_GB2312" w:hAnsi="仿宋_GB2312" w:eastAsia="仿宋_GB2312" w:cs="仿宋_GB2312"/>
          <w:color w:val="auto"/>
          <w:kern w:val="0"/>
          <w:sz w:val="28"/>
          <w:szCs w:val="28"/>
          <w:lang w:val="en-US" w:eastAsia="zh-CN"/>
        </w:rPr>
        <w:t>00</w:t>
      </w:r>
      <w:r>
        <w:rPr>
          <w:rFonts w:hint="eastAsia" w:ascii="仿宋_GB2312" w:hAnsi="仿宋_GB2312" w:eastAsia="仿宋_GB2312" w:cs="仿宋_GB2312"/>
          <w:color w:val="auto"/>
          <w:kern w:val="0"/>
          <w:sz w:val="28"/>
          <w:szCs w:val="28"/>
        </w:rPr>
        <w:t>分（北京时间）。踏勘集中地点为</w:t>
      </w:r>
      <w:r>
        <w:rPr>
          <w:rFonts w:hint="eastAsia" w:ascii="仿宋_GB2312" w:hAnsi="仿宋_GB2312" w:eastAsia="仿宋_GB2312" w:cs="仿宋_GB2312"/>
          <w:b/>
          <w:bCs/>
          <w:color w:val="auto"/>
          <w:kern w:val="0"/>
          <w:sz w:val="28"/>
          <w:szCs w:val="28"/>
        </w:rPr>
        <w:t>杭州萧山国际机场物业维修中心</w:t>
      </w:r>
      <w:r>
        <w:rPr>
          <w:rFonts w:hint="eastAsia" w:ascii="仿宋_GB2312" w:hAnsi="仿宋_GB2312" w:eastAsia="仿宋_GB2312" w:cs="仿宋_GB2312"/>
          <w:color w:val="auto"/>
          <w:kern w:val="0"/>
          <w:sz w:val="28"/>
          <w:szCs w:val="28"/>
        </w:rPr>
        <w:t>，</w:t>
      </w:r>
      <w:r>
        <w:rPr>
          <w:rFonts w:hint="eastAsia" w:ascii="仿宋_GB2312" w:hAnsi="仿宋_GB2312" w:eastAsia="仿宋_GB2312" w:cs="仿宋_GB2312"/>
          <w:b/>
          <w:bCs/>
          <w:color w:val="auto"/>
          <w:kern w:val="0"/>
          <w:sz w:val="28"/>
          <w:szCs w:val="28"/>
        </w:rPr>
        <w:t>由于未参加现场踏勘引起的报价失误等责任由投标人自负。</w:t>
      </w:r>
    </w:p>
    <w:p>
      <w:pPr>
        <w:snapToGrid w:val="0"/>
        <w:spacing w:line="360" w:lineRule="exact"/>
        <w:rPr>
          <w:rFonts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五、招标答疑</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560" w:firstLineChars="200"/>
        <w:jc w:val="both"/>
        <w:textAlignment w:val="auto"/>
        <w:outlineLvl w:val="9"/>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lang w:val="en-US" w:eastAsia="zh-CN"/>
        </w:rPr>
        <w:t>2023</w:t>
      </w:r>
      <w:r>
        <w:rPr>
          <w:rFonts w:hint="eastAsia" w:ascii="仿宋_GB2312" w:hAnsi="仿宋_GB2312" w:eastAsia="仿宋_GB2312" w:cs="仿宋_GB2312"/>
          <w:color w:val="auto"/>
          <w:kern w:val="0"/>
          <w:sz w:val="28"/>
          <w:szCs w:val="28"/>
        </w:rPr>
        <w:t>年</w:t>
      </w:r>
      <w:r>
        <w:rPr>
          <w:rFonts w:hint="eastAsia" w:ascii="仿宋_GB2312" w:hAnsi="仿宋_GB2312" w:eastAsia="仿宋_GB2312" w:cs="仿宋_GB2312"/>
          <w:color w:val="auto"/>
          <w:kern w:val="0"/>
          <w:sz w:val="28"/>
          <w:szCs w:val="28"/>
          <w:lang w:val="en-US" w:eastAsia="zh-CN"/>
        </w:rPr>
        <w:t>7</w:t>
      </w:r>
      <w:r>
        <w:rPr>
          <w:rFonts w:hint="eastAsia" w:ascii="仿宋_GB2312" w:hAnsi="仿宋_GB2312" w:eastAsia="仿宋_GB2312" w:cs="仿宋_GB2312"/>
          <w:color w:val="auto"/>
          <w:kern w:val="0"/>
          <w:sz w:val="28"/>
          <w:szCs w:val="28"/>
        </w:rPr>
        <w:t>月</w:t>
      </w:r>
      <w:r>
        <w:rPr>
          <w:rFonts w:hint="eastAsia" w:ascii="仿宋_GB2312" w:hAnsi="仿宋_GB2312" w:eastAsia="仿宋_GB2312" w:cs="仿宋_GB2312"/>
          <w:color w:val="auto"/>
          <w:kern w:val="0"/>
          <w:sz w:val="28"/>
          <w:szCs w:val="28"/>
          <w:lang w:val="en-US" w:eastAsia="zh-CN"/>
        </w:rPr>
        <w:t>24</w:t>
      </w:r>
      <w:r>
        <w:rPr>
          <w:rFonts w:hint="eastAsia" w:ascii="仿宋_GB2312" w:hAnsi="仿宋_GB2312" w:eastAsia="仿宋_GB2312" w:cs="仿宋_GB2312"/>
          <w:color w:val="auto"/>
          <w:kern w:val="0"/>
          <w:sz w:val="28"/>
          <w:szCs w:val="28"/>
        </w:rPr>
        <w:t>日</w:t>
      </w:r>
      <w:r>
        <w:rPr>
          <w:rFonts w:hint="eastAsia" w:ascii="仿宋_GB2312" w:hAnsi="仿宋_GB2312" w:eastAsia="仿宋_GB2312" w:cs="仿宋_GB2312"/>
          <w:color w:val="auto"/>
          <w:kern w:val="0"/>
          <w:sz w:val="28"/>
          <w:szCs w:val="28"/>
          <w:lang w:val="en-US" w:eastAsia="zh-CN"/>
        </w:rPr>
        <w:t>9</w:t>
      </w:r>
      <w:r>
        <w:rPr>
          <w:rFonts w:hint="eastAsia" w:ascii="仿宋_GB2312" w:hAnsi="仿宋_GB2312" w:eastAsia="仿宋_GB2312" w:cs="仿宋_GB2312"/>
          <w:color w:val="auto"/>
          <w:kern w:val="0"/>
          <w:sz w:val="28"/>
          <w:szCs w:val="28"/>
        </w:rPr>
        <w:t>时</w:t>
      </w:r>
      <w:r>
        <w:rPr>
          <w:rFonts w:hint="eastAsia" w:ascii="仿宋_GB2312" w:hAnsi="仿宋_GB2312" w:eastAsia="仿宋_GB2312" w:cs="仿宋_GB2312"/>
          <w:color w:val="auto"/>
          <w:kern w:val="0"/>
          <w:sz w:val="28"/>
          <w:szCs w:val="28"/>
          <w:lang w:val="en-US" w:eastAsia="zh-CN"/>
        </w:rPr>
        <w:t>00</w:t>
      </w:r>
      <w:r>
        <w:rPr>
          <w:rFonts w:hint="eastAsia" w:ascii="仿宋_GB2312" w:hAnsi="仿宋_GB2312" w:eastAsia="仿宋_GB2312" w:cs="仿宋_GB2312"/>
          <w:color w:val="auto"/>
          <w:kern w:val="0"/>
          <w:sz w:val="28"/>
          <w:szCs w:val="28"/>
        </w:rPr>
        <w:t>分前，以E-mail及书面形式提交给招标人（邮箱：373285581@qq.com，联系人：吴淼清）投标人必须在规定时间前提出对招标文件的疑问，否则招标人有权拒绝接收和拒绝回答未在截止时间前提出的疑问。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p>
      <w:pPr>
        <w:widowControl/>
        <w:snapToGrid w:val="0"/>
        <w:spacing w:line="360" w:lineRule="exact"/>
        <w:jc w:val="left"/>
        <w:rPr>
          <w:rFonts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六、投标文件的递交</w:t>
      </w:r>
    </w:p>
    <w:p>
      <w:pPr>
        <w:widowControl/>
        <w:numPr>
          <w:ilvl w:val="0"/>
          <w:numId w:val="3"/>
        </w:numPr>
        <w:adjustRightInd w:val="0"/>
        <w:snapToGrid w:val="0"/>
        <w:spacing w:line="3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投标文件递交截止时间：</w:t>
      </w:r>
      <w:r>
        <w:rPr>
          <w:rFonts w:hint="eastAsia" w:ascii="仿宋_GB2312" w:hAnsi="仿宋_GB2312" w:eastAsia="仿宋_GB2312" w:cs="仿宋_GB2312"/>
          <w:color w:val="auto"/>
          <w:kern w:val="0"/>
          <w:sz w:val="28"/>
          <w:szCs w:val="28"/>
          <w:lang w:val="en-US" w:eastAsia="zh-CN"/>
        </w:rPr>
        <w:t>2023</w:t>
      </w:r>
      <w:r>
        <w:rPr>
          <w:rFonts w:hint="eastAsia" w:ascii="仿宋_GB2312" w:hAnsi="仿宋_GB2312" w:eastAsia="仿宋_GB2312" w:cs="仿宋_GB2312"/>
          <w:color w:val="auto"/>
          <w:kern w:val="0"/>
          <w:sz w:val="28"/>
          <w:szCs w:val="28"/>
        </w:rPr>
        <w:t>年</w:t>
      </w:r>
      <w:r>
        <w:rPr>
          <w:rFonts w:hint="eastAsia" w:ascii="仿宋_GB2312" w:hAnsi="仿宋_GB2312" w:eastAsia="仿宋_GB2312" w:cs="仿宋_GB2312"/>
          <w:color w:val="auto"/>
          <w:kern w:val="0"/>
          <w:sz w:val="28"/>
          <w:szCs w:val="28"/>
          <w:lang w:val="en-US" w:eastAsia="zh-CN"/>
        </w:rPr>
        <w:t>7</w:t>
      </w:r>
      <w:r>
        <w:rPr>
          <w:rFonts w:hint="eastAsia" w:ascii="仿宋_GB2312" w:hAnsi="仿宋_GB2312" w:eastAsia="仿宋_GB2312" w:cs="仿宋_GB2312"/>
          <w:color w:val="auto"/>
          <w:kern w:val="0"/>
          <w:sz w:val="28"/>
          <w:szCs w:val="28"/>
        </w:rPr>
        <w:t>月</w:t>
      </w:r>
      <w:r>
        <w:rPr>
          <w:rFonts w:hint="eastAsia" w:ascii="仿宋_GB2312" w:hAnsi="仿宋_GB2312" w:eastAsia="仿宋_GB2312" w:cs="仿宋_GB2312"/>
          <w:color w:val="auto"/>
          <w:kern w:val="0"/>
          <w:sz w:val="28"/>
          <w:szCs w:val="28"/>
          <w:lang w:val="en-US" w:eastAsia="zh-CN"/>
        </w:rPr>
        <w:t>27</w:t>
      </w:r>
      <w:r>
        <w:rPr>
          <w:rFonts w:hint="eastAsia" w:ascii="仿宋_GB2312" w:hAnsi="仿宋_GB2312" w:eastAsia="仿宋_GB2312" w:cs="仿宋_GB2312"/>
          <w:color w:val="auto"/>
          <w:kern w:val="0"/>
          <w:sz w:val="28"/>
          <w:szCs w:val="28"/>
        </w:rPr>
        <w:t>日</w:t>
      </w:r>
      <w:r>
        <w:rPr>
          <w:rFonts w:hint="eastAsia" w:ascii="仿宋_GB2312" w:hAnsi="仿宋_GB2312" w:eastAsia="仿宋_GB2312" w:cs="仿宋_GB2312"/>
          <w:color w:val="auto"/>
          <w:kern w:val="0"/>
          <w:sz w:val="28"/>
          <w:szCs w:val="28"/>
          <w:lang w:val="en-US" w:eastAsia="zh-CN"/>
        </w:rPr>
        <w:t>9</w:t>
      </w:r>
      <w:r>
        <w:rPr>
          <w:rFonts w:hint="eastAsia" w:ascii="仿宋_GB2312" w:hAnsi="仿宋_GB2312" w:eastAsia="仿宋_GB2312" w:cs="仿宋_GB2312"/>
          <w:color w:val="auto"/>
          <w:kern w:val="0"/>
          <w:sz w:val="28"/>
          <w:szCs w:val="28"/>
        </w:rPr>
        <w:t>时</w:t>
      </w:r>
      <w:r>
        <w:rPr>
          <w:rFonts w:hint="eastAsia" w:ascii="仿宋_GB2312" w:hAnsi="仿宋_GB2312" w:eastAsia="仿宋_GB2312" w:cs="仿宋_GB2312"/>
          <w:color w:val="auto"/>
          <w:kern w:val="0"/>
          <w:sz w:val="28"/>
          <w:szCs w:val="28"/>
          <w:lang w:val="en-US" w:eastAsia="zh-CN"/>
        </w:rPr>
        <w:t>00</w:t>
      </w:r>
      <w:r>
        <w:rPr>
          <w:rFonts w:hint="eastAsia" w:ascii="仿宋_GB2312" w:hAnsi="仿宋_GB2312" w:eastAsia="仿宋_GB2312" w:cs="仿宋_GB2312"/>
          <w:color w:val="auto"/>
          <w:kern w:val="0"/>
          <w:sz w:val="28"/>
          <w:szCs w:val="28"/>
        </w:rPr>
        <w:t>分前（北京时间）。投标文件在封口处加盖公章并注明是：</w:t>
      </w:r>
      <w:r>
        <w:rPr>
          <w:rFonts w:hint="eastAsia" w:ascii="仿宋_GB2312" w:hAnsi="仿宋_GB2312" w:eastAsia="仿宋_GB2312" w:cs="仿宋_GB2312"/>
          <w:b/>
          <w:bCs/>
          <w:color w:val="auto"/>
          <w:sz w:val="28"/>
          <w:szCs w:val="28"/>
        </w:rPr>
        <w:t>杭州萧山国际机场T4航站楼国际中转厅电源敷设项目投标文件</w:t>
      </w:r>
      <w:r>
        <w:rPr>
          <w:rFonts w:hint="eastAsia" w:ascii="仿宋_GB2312" w:hAnsi="仿宋_GB2312" w:eastAsia="仿宋_GB2312" w:cs="仿宋_GB2312"/>
          <w:color w:val="auto"/>
          <w:kern w:val="0"/>
          <w:sz w:val="28"/>
          <w:szCs w:val="28"/>
        </w:rPr>
        <w:t>，并派专人于</w:t>
      </w:r>
      <w:r>
        <w:rPr>
          <w:rFonts w:hint="eastAsia" w:ascii="仿宋_GB2312" w:hAnsi="仿宋_GB2312" w:eastAsia="仿宋_GB2312" w:cs="仿宋_GB2312"/>
          <w:color w:val="auto"/>
          <w:kern w:val="0"/>
          <w:sz w:val="28"/>
          <w:szCs w:val="28"/>
          <w:lang w:val="en-US" w:eastAsia="zh-CN"/>
        </w:rPr>
        <w:t>2023</w:t>
      </w:r>
      <w:r>
        <w:rPr>
          <w:rFonts w:hint="eastAsia" w:ascii="仿宋_GB2312" w:hAnsi="仿宋_GB2312" w:eastAsia="仿宋_GB2312" w:cs="仿宋_GB2312"/>
          <w:color w:val="auto"/>
          <w:kern w:val="0"/>
          <w:sz w:val="28"/>
          <w:szCs w:val="28"/>
        </w:rPr>
        <w:t>年</w:t>
      </w:r>
      <w:r>
        <w:rPr>
          <w:rFonts w:hint="eastAsia" w:ascii="仿宋_GB2312" w:hAnsi="仿宋_GB2312" w:eastAsia="仿宋_GB2312" w:cs="仿宋_GB2312"/>
          <w:color w:val="auto"/>
          <w:kern w:val="0"/>
          <w:sz w:val="28"/>
          <w:szCs w:val="28"/>
          <w:lang w:val="en-US" w:eastAsia="zh-CN"/>
        </w:rPr>
        <w:t>7</w:t>
      </w:r>
      <w:r>
        <w:rPr>
          <w:rFonts w:hint="eastAsia" w:ascii="仿宋_GB2312" w:hAnsi="仿宋_GB2312" w:eastAsia="仿宋_GB2312" w:cs="仿宋_GB2312"/>
          <w:color w:val="auto"/>
          <w:kern w:val="0"/>
          <w:sz w:val="28"/>
          <w:szCs w:val="28"/>
        </w:rPr>
        <w:t>月</w:t>
      </w:r>
      <w:r>
        <w:rPr>
          <w:rFonts w:hint="eastAsia" w:ascii="仿宋_GB2312" w:hAnsi="仿宋_GB2312" w:eastAsia="仿宋_GB2312" w:cs="仿宋_GB2312"/>
          <w:color w:val="auto"/>
          <w:kern w:val="0"/>
          <w:sz w:val="28"/>
          <w:szCs w:val="28"/>
          <w:lang w:val="en-US" w:eastAsia="zh-CN"/>
        </w:rPr>
        <w:t>27</w:t>
      </w:r>
      <w:r>
        <w:rPr>
          <w:rFonts w:hint="eastAsia" w:ascii="仿宋_GB2312" w:hAnsi="仿宋_GB2312" w:eastAsia="仿宋_GB2312" w:cs="仿宋_GB2312"/>
          <w:color w:val="auto"/>
          <w:kern w:val="0"/>
          <w:sz w:val="28"/>
          <w:szCs w:val="28"/>
        </w:rPr>
        <w:t>日</w:t>
      </w:r>
      <w:r>
        <w:rPr>
          <w:rFonts w:hint="eastAsia" w:ascii="仿宋_GB2312" w:hAnsi="仿宋_GB2312" w:eastAsia="仿宋_GB2312" w:cs="仿宋_GB2312"/>
          <w:color w:val="auto"/>
          <w:kern w:val="0"/>
          <w:sz w:val="28"/>
          <w:szCs w:val="28"/>
          <w:lang w:val="en-US" w:eastAsia="zh-CN"/>
        </w:rPr>
        <w:t>9</w:t>
      </w:r>
      <w:r>
        <w:rPr>
          <w:rFonts w:hint="eastAsia" w:ascii="仿宋_GB2312" w:hAnsi="仿宋_GB2312" w:eastAsia="仿宋_GB2312" w:cs="仿宋_GB2312"/>
          <w:color w:val="auto"/>
          <w:kern w:val="0"/>
          <w:sz w:val="28"/>
          <w:szCs w:val="28"/>
        </w:rPr>
        <w:t>时</w:t>
      </w:r>
      <w:r>
        <w:rPr>
          <w:rFonts w:hint="eastAsia" w:ascii="仿宋_GB2312" w:hAnsi="仿宋_GB2312" w:eastAsia="仿宋_GB2312" w:cs="仿宋_GB2312"/>
          <w:color w:val="auto"/>
          <w:kern w:val="0"/>
          <w:sz w:val="28"/>
          <w:szCs w:val="28"/>
          <w:lang w:val="en-US" w:eastAsia="zh-CN"/>
        </w:rPr>
        <w:t>00</w:t>
      </w:r>
      <w:r>
        <w:rPr>
          <w:rFonts w:hint="eastAsia" w:ascii="仿宋_GB2312" w:hAnsi="仿宋_GB2312" w:eastAsia="仿宋_GB2312" w:cs="仿宋_GB2312"/>
          <w:color w:val="auto"/>
          <w:kern w:val="0"/>
          <w:sz w:val="28"/>
          <w:szCs w:val="28"/>
        </w:rPr>
        <w:t>分前（北京时间）前送至</w:t>
      </w:r>
      <w:r>
        <w:rPr>
          <w:rFonts w:hint="eastAsia" w:ascii="仿宋_GB2312" w:hAnsi="仿宋_GB2312" w:eastAsia="仿宋_GB2312" w:cs="仿宋_GB2312"/>
          <w:b/>
          <w:bCs/>
          <w:color w:val="auto"/>
          <w:kern w:val="0"/>
          <w:sz w:val="28"/>
          <w:szCs w:val="28"/>
        </w:rPr>
        <w:t>杭州萧山国际机场物业维修中心</w:t>
      </w:r>
      <w:r>
        <w:rPr>
          <w:rFonts w:hint="eastAsia" w:ascii="仿宋_GB2312" w:hAnsi="仿宋_GB2312" w:eastAsia="仿宋_GB2312" w:cs="仿宋_GB2312"/>
          <w:color w:val="auto"/>
          <w:kern w:val="0"/>
          <w:sz w:val="28"/>
          <w:szCs w:val="28"/>
        </w:rPr>
        <w:t xml:space="preserve">，逾期无效；若采用投递方式的，请于    </w:t>
      </w:r>
      <w:r>
        <w:rPr>
          <w:rFonts w:hint="eastAsia" w:ascii="仿宋_GB2312" w:hAnsi="仿宋_GB2312" w:eastAsia="仿宋_GB2312" w:cs="仿宋_GB2312"/>
          <w:color w:val="auto"/>
          <w:kern w:val="0"/>
          <w:sz w:val="28"/>
          <w:szCs w:val="28"/>
          <w:lang w:val="en-US" w:eastAsia="zh-CN"/>
        </w:rPr>
        <w:t>2023</w:t>
      </w:r>
      <w:r>
        <w:rPr>
          <w:rFonts w:hint="eastAsia" w:ascii="仿宋_GB2312" w:hAnsi="仿宋_GB2312" w:eastAsia="仿宋_GB2312" w:cs="仿宋_GB2312"/>
          <w:color w:val="auto"/>
          <w:kern w:val="0"/>
          <w:sz w:val="28"/>
          <w:szCs w:val="28"/>
        </w:rPr>
        <w:t>年</w:t>
      </w:r>
      <w:r>
        <w:rPr>
          <w:rFonts w:hint="eastAsia" w:ascii="仿宋_GB2312" w:hAnsi="仿宋_GB2312" w:eastAsia="仿宋_GB2312" w:cs="仿宋_GB2312"/>
          <w:color w:val="auto"/>
          <w:kern w:val="0"/>
          <w:sz w:val="28"/>
          <w:szCs w:val="28"/>
          <w:lang w:val="en-US" w:eastAsia="zh-CN"/>
        </w:rPr>
        <w:t>7</w:t>
      </w:r>
      <w:r>
        <w:rPr>
          <w:rFonts w:hint="eastAsia" w:ascii="仿宋_GB2312" w:hAnsi="仿宋_GB2312" w:eastAsia="仿宋_GB2312" w:cs="仿宋_GB2312"/>
          <w:color w:val="auto"/>
          <w:kern w:val="0"/>
          <w:sz w:val="28"/>
          <w:szCs w:val="28"/>
        </w:rPr>
        <w:t>月</w:t>
      </w:r>
      <w:r>
        <w:rPr>
          <w:rFonts w:hint="eastAsia" w:ascii="仿宋_GB2312" w:hAnsi="仿宋_GB2312" w:eastAsia="仿宋_GB2312" w:cs="仿宋_GB2312"/>
          <w:color w:val="auto"/>
          <w:kern w:val="0"/>
          <w:sz w:val="28"/>
          <w:szCs w:val="28"/>
          <w:lang w:val="en-US" w:eastAsia="zh-CN"/>
        </w:rPr>
        <w:t>27</w:t>
      </w:r>
      <w:r>
        <w:rPr>
          <w:rFonts w:hint="eastAsia" w:ascii="仿宋_GB2312" w:hAnsi="仿宋_GB2312" w:eastAsia="仿宋_GB2312" w:cs="仿宋_GB2312"/>
          <w:color w:val="auto"/>
          <w:kern w:val="0"/>
          <w:sz w:val="28"/>
          <w:szCs w:val="28"/>
        </w:rPr>
        <w:t>日</w:t>
      </w:r>
      <w:r>
        <w:rPr>
          <w:rFonts w:hint="eastAsia" w:ascii="仿宋_GB2312" w:hAnsi="仿宋_GB2312" w:eastAsia="仿宋_GB2312" w:cs="仿宋_GB2312"/>
          <w:color w:val="auto"/>
          <w:kern w:val="0"/>
          <w:sz w:val="28"/>
          <w:szCs w:val="28"/>
          <w:lang w:val="en-US" w:eastAsia="zh-CN"/>
        </w:rPr>
        <w:t>9</w:t>
      </w:r>
      <w:r>
        <w:rPr>
          <w:rFonts w:hint="eastAsia" w:ascii="仿宋_GB2312" w:hAnsi="仿宋_GB2312" w:eastAsia="仿宋_GB2312" w:cs="仿宋_GB2312"/>
          <w:color w:val="auto"/>
          <w:kern w:val="0"/>
          <w:sz w:val="28"/>
          <w:szCs w:val="28"/>
        </w:rPr>
        <w:t>时</w:t>
      </w:r>
      <w:r>
        <w:rPr>
          <w:rFonts w:hint="eastAsia" w:ascii="仿宋_GB2312" w:hAnsi="仿宋_GB2312" w:eastAsia="仿宋_GB2312" w:cs="仿宋_GB2312"/>
          <w:color w:val="auto"/>
          <w:kern w:val="0"/>
          <w:sz w:val="28"/>
          <w:szCs w:val="28"/>
          <w:lang w:val="en-US" w:eastAsia="zh-CN"/>
        </w:rPr>
        <w:t>00</w:t>
      </w:r>
      <w:r>
        <w:rPr>
          <w:rFonts w:hint="eastAsia" w:ascii="仿宋_GB2312" w:hAnsi="仿宋_GB2312" w:eastAsia="仿宋_GB2312" w:cs="仿宋_GB2312"/>
          <w:color w:val="auto"/>
          <w:kern w:val="0"/>
          <w:sz w:val="28"/>
          <w:szCs w:val="28"/>
        </w:rPr>
        <w:t>分前（北京时间）前投递至</w:t>
      </w:r>
      <w:r>
        <w:rPr>
          <w:rFonts w:hint="eastAsia" w:ascii="仿宋_GB2312" w:hAnsi="仿宋_GB2312" w:eastAsia="仿宋_GB2312" w:cs="仿宋_GB2312"/>
          <w:b/>
          <w:bCs/>
          <w:color w:val="auto"/>
          <w:kern w:val="0"/>
          <w:sz w:val="28"/>
          <w:szCs w:val="28"/>
        </w:rPr>
        <w:t>杭州萧山国际机场物业维修中心</w:t>
      </w:r>
      <w:r>
        <w:rPr>
          <w:rFonts w:hint="eastAsia" w:ascii="仿宋_GB2312" w:hAnsi="仿宋_GB2312" w:eastAsia="仿宋_GB2312" w:cs="仿宋_GB2312"/>
          <w:color w:val="auto"/>
          <w:kern w:val="0"/>
          <w:sz w:val="28"/>
          <w:szCs w:val="28"/>
        </w:rPr>
        <w:t>，快递面单上注明是：</w:t>
      </w:r>
      <w:r>
        <w:rPr>
          <w:rFonts w:hint="eastAsia" w:ascii="仿宋_GB2312" w:hAnsi="仿宋_GB2312" w:eastAsia="仿宋_GB2312" w:cs="仿宋_GB2312"/>
          <w:b/>
          <w:bCs/>
          <w:color w:val="auto"/>
          <w:sz w:val="28"/>
          <w:szCs w:val="28"/>
        </w:rPr>
        <w:t>杭州萧山国际机场T4航站楼国际中转厅电源敷设项目投标文件</w:t>
      </w:r>
      <w:r>
        <w:rPr>
          <w:rFonts w:hint="eastAsia" w:ascii="仿宋_GB2312" w:hAnsi="仿宋_GB2312" w:eastAsia="仿宋_GB2312" w:cs="仿宋_GB2312"/>
          <w:b/>
          <w:bCs/>
          <w:color w:val="auto"/>
          <w:kern w:val="0"/>
          <w:sz w:val="28"/>
          <w:szCs w:val="28"/>
        </w:rPr>
        <w:t>。</w:t>
      </w:r>
    </w:p>
    <w:p>
      <w:pPr>
        <w:widowControl/>
        <w:numPr>
          <w:ilvl w:val="0"/>
          <w:numId w:val="3"/>
        </w:numPr>
        <w:adjustRightInd w:val="0"/>
        <w:snapToGrid w:val="0"/>
        <w:spacing w:line="3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逾期送达或者未送达指定地点的投标文件，招标人不予受理。</w:t>
      </w:r>
    </w:p>
    <w:p>
      <w:pPr>
        <w:widowControl/>
        <w:numPr>
          <w:ilvl w:val="0"/>
          <w:numId w:val="3"/>
        </w:numPr>
        <w:adjustRightInd w:val="0"/>
        <w:snapToGrid w:val="0"/>
        <w:spacing w:line="3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投标文件正本一份，副本二份。</w:t>
      </w:r>
    </w:p>
    <w:p>
      <w:pPr>
        <w:widowControl/>
        <w:numPr>
          <w:ilvl w:val="0"/>
          <w:numId w:val="3"/>
        </w:numPr>
        <w:adjustRightInd w:val="0"/>
        <w:snapToGrid w:val="0"/>
        <w:spacing w:line="3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投标文件封面（或扉页）、投标函以及各类报价表均须加盖投标人单位章，并经法定代表人（或其委托代理人）签字或盖章。</w:t>
      </w:r>
    </w:p>
    <w:p>
      <w:pPr>
        <w:widowControl/>
        <w:numPr>
          <w:ilvl w:val="0"/>
          <w:numId w:val="3"/>
        </w:numPr>
        <w:adjustRightInd w:val="0"/>
        <w:snapToGrid w:val="0"/>
        <w:spacing w:line="3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装订要求为不分册装订，每册采用胶装等方式装订，装订应牢固、不易拆散和换页，不得采用活页装订。</w:t>
      </w:r>
    </w:p>
    <w:p>
      <w:pPr>
        <w:widowControl/>
        <w:numPr>
          <w:ilvl w:val="0"/>
          <w:numId w:val="3"/>
        </w:numPr>
        <w:adjustRightInd w:val="0"/>
        <w:snapToGrid w:val="0"/>
        <w:spacing w:line="3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封套上写明：</w:t>
      </w:r>
    </w:p>
    <w:p>
      <w:pPr>
        <w:autoSpaceDE w:val="0"/>
        <w:autoSpaceDN w:val="0"/>
        <w:adjustRightInd w:val="0"/>
        <w:snapToGrid w:val="0"/>
        <w:spacing w:line="360" w:lineRule="exact"/>
        <w:ind w:firstLine="560" w:firstLineChars="200"/>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招标人的地址：</w:t>
      </w:r>
      <w:r>
        <w:rPr>
          <w:rFonts w:hint="eastAsia" w:ascii="仿宋_GB2312" w:hAnsi="仿宋_GB2312" w:eastAsia="仿宋_GB2312" w:cs="仿宋_GB2312"/>
          <w:color w:val="auto"/>
          <w:sz w:val="28"/>
          <w:szCs w:val="28"/>
          <w:u w:val="single"/>
        </w:rPr>
        <w:t>杭州萧山国际机场内</w:t>
      </w:r>
    </w:p>
    <w:p>
      <w:pPr>
        <w:autoSpaceDE w:val="0"/>
        <w:autoSpaceDN w:val="0"/>
        <w:adjustRightInd w:val="0"/>
        <w:snapToGrid w:val="0"/>
        <w:spacing w:line="360" w:lineRule="exact"/>
        <w:ind w:firstLine="560" w:firstLineChars="200"/>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招标人名称：</w:t>
      </w:r>
      <w:r>
        <w:rPr>
          <w:rFonts w:hint="eastAsia" w:ascii="仿宋_GB2312" w:hAnsi="仿宋_GB2312" w:eastAsia="仿宋_GB2312" w:cs="仿宋_GB2312"/>
          <w:color w:val="auto"/>
          <w:kern w:val="0"/>
          <w:sz w:val="28"/>
          <w:szCs w:val="28"/>
          <w:u w:val="single"/>
        </w:rPr>
        <w:t>杭州萧山国际机场有限公司</w:t>
      </w:r>
    </w:p>
    <w:p>
      <w:pPr>
        <w:autoSpaceDE w:val="0"/>
        <w:autoSpaceDN w:val="0"/>
        <w:adjustRightInd w:val="0"/>
        <w:snapToGrid w:val="0"/>
        <w:spacing w:line="360" w:lineRule="exact"/>
        <w:ind w:firstLine="560" w:firstLineChars="200"/>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sz w:val="28"/>
          <w:szCs w:val="28"/>
        </w:rPr>
        <w:t>项目名称：</w:t>
      </w:r>
      <w:r>
        <w:rPr>
          <w:rFonts w:hint="eastAsia" w:ascii="仿宋_GB2312" w:hAnsi="仿宋_GB2312" w:eastAsia="仿宋_GB2312" w:cs="仿宋_GB2312"/>
          <w:color w:val="auto"/>
          <w:sz w:val="28"/>
          <w:szCs w:val="28"/>
          <w:u w:val="single"/>
        </w:rPr>
        <w:t>杭州萧山国际机场T4航站楼国际中转厅电源敷设项目</w:t>
      </w:r>
      <w:r>
        <w:rPr>
          <w:rFonts w:hint="eastAsia" w:ascii="仿宋_GB2312" w:hAnsi="仿宋_GB2312" w:eastAsia="仿宋_GB2312" w:cs="仿宋_GB2312"/>
          <w:color w:val="auto"/>
          <w:sz w:val="28"/>
          <w:szCs w:val="28"/>
        </w:rPr>
        <w:t>投标文件</w:t>
      </w:r>
    </w:p>
    <w:p>
      <w:pPr>
        <w:widowControl/>
        <w:adjustRightInd w:val="0"/>
        <w:snapToGrid w:val="0"/>
        <w:spacing w:line="360" w:lineRule="exact"/>
        <w:ind w:firstLine="560" w:firstLineChars="200"/>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在</w:t>
      </w:r>
      <w:r>
        <w:rPr>
          <w:rFonts w:hint="eastAsia" w:ascii="仿宋_GB2312" w:hAnsi="仿宋_GB2312" w:eastAsia="仿宋_GB2312" w:cs="仿宋_GB2312"/>
          <w:color w:val="auto"/>
          <w:kern w:val="0"/>
          <w:sz w:val="28"/>
          <w:szCs w:val="28"/>
          <w:lang w:val="en-US" w:eastAsia="zh-CN"/>
        </w:rPr>
        <w:t>2023</w:t>
      </w:r>
      <w:r>
        <w:rPr>
          <w:rFonts w:hint="eastAsia" w:ascii="仿宋_GB2312" w:hAnsi="仿宋_GB2312" w:eastAsia="仿宋_GB2312" w:cs="仿宋_GB2312"/>
          <w:color w:val="auto"/>
          <w:kern w:val="0"/>
          <w:sz w:val="28"/>
          <w:szCs w:val="28"/>
        </w:rPr>
        <w:t>年</w:t>
      </w:r>
      <w:r>
        <w:rPr>
          <w:rFonts w:hint="eastAsia" w:ascii="仿宋_GB2312" w:hAnsi="仿宋_GB2312" w:eastAsia="仿宋_GB2312" w:cs="仿宋_GB2312"/>
          <w:color w:val="auto"/>
          <w:kern w:val="0"/>
          <w:sz w:val="28"/>
          <w:szCs w:val="28"/>
          <w:lang w:val="en-US" w:eastAsia="zh-CN"/>
        </w:rPr>
        <w:t>7</w:t>
      </w:r>
      <w:r>
        <w:rPr>
          <w:rFonts w:hint="eastAsia" w:ascii="仿宋_GB2312" w:hAnsi="仿宋_GB2312" w:eastAsia="仿宋_GB2312" w:cs="仿宋_GB2312"/>
          <w:color w:val="auto"/>
          <w:kern w:val="0"/>
          <w:sz w:val="28"/>
          <w:szCs w:val="28"/>
        </w:rPr>
        <w:t>月</w:t>
      </w:r>
      <w:r>
        <w:rPr>
          <w:rFonts w:hint="eastAsia" w:ascii="仿宋_GB2312" w:hAnsi="仿宋_GB2312" w:eastAsia="仿宋_GB2312" w:cs="仿宋_GB2312"/>
          <w:color w:val="auto"/>
          <w:kern w:val="0"/>
          <w:sz w:val="28"/>
          <w:szCs w:val="28"/>
          <w:lang w:val="en-US" w:eastAsia="zh-CN"/>
        </w:rPr>
        <w:t>27</w:t>
      </w:r>
      <w:bookmarkStart w:id="28" w:name="_GoBack"/>
      <w:bookmarkEnd w:id="28"/>
      <w:r>
        <w:rPr>
          <w:rFonts w:hint="eastAsia" w:ascii="仿宋_GB2312" w:hAnsi="仿宋_GB2312" w:eastAsia="仿宋_GB2312" w:cs="仿宋_GB2312"/>
          <w:color w:val="auto"/>
          <w:kern w:val="0"/>
          <w:sz w:val="28"/>
          <w:szCs w:val="28"/>
        </w:rPr>
        <w:t>日</w:t>
      </w:r>
      <w:r>
        <w:rPr>
          <w:rFonts w:hint="eastAsia" w:ascii="仿宋_GB2312" w:hAnsi="仿宋_GB2312" w:eastAsia="仿宋_GB2312" w:cs="仿宋_GB2312"/>
          <w:color w:val="auto"/>
          <w:kern w:val="0"/>
          <w:sz w:val="28"/>
          <w:szCs w:val="28"/>
          <w:lang w:val="en-US" w:eastAsia="zh-CN"/>
        </w:rPr>
        <w:t>9</w:t>
      </w:r>
      <w:r>
        <w:rPr>
          <w:rFonts w:hint="eastAsia" w:ascii="仿宋_GB2312" w:hAnsi="仿宋_GB2312" w:eastAsia="仿宋_GB2312" w:cs="仿宋_GB2312"/>
          <w:color w:val="auto"/>
          <w:kern w:val="0"/>
          <w:sz w:val="28"/>
          <w:szCs w:val="28"/>
        </w:rPr>
        <w:t>时</w:t>
      </w:r>
      <w:r>
        <w:rPr>
          <w:rFonts w:hint="eastAsia" w:ascii="仿宋_GB2312" w:hAnsi="仿宋_GB2312" w:eastAsia="仿宋_GB2312" w:cs="仿宋_GB2312"/>
          <w:color w:val="auto"/>
          <w:kern w:val="0"/>
          <w:sz w:val="28"/>
          <w:szCs w:val="28"/>
          <w:lang w:val="en-US" w:eastAsia="zh-CN"/>
        </w:rPr>
        <w:t>00</w:t>
      </w:r>
      <w:r>
        <w:rPr>
          <w:rFonts w:hint="eastAsia" w:ascii="仿宋_GB2312" w:hAnsi="仿宋_GB2312" w:eastAsia="仿宋_GB2312" w:cs="仿宋_GB2312"/>
          <w:color w:val="auto"/>
          <w:kern w:val="0"/>
          <w:sz w:val="28"/>
          <w:szCs w:val="28"/>
        </w:rPr>
        <w:t>分（即开标时间）前不得开启</w:t>
      </w:r>
    </w:p>
    <w:p>
      <w:pPr>
        <w:widowControl/>
        <w:adjustRightInd w:val="0"/>
        <w:snapToGrid w:val="0"/>
        <w:spacing w:line="360" w:lineRule="exact"/>
        <w:rPr>
          <w:rFonts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七、开标</w:t>
      </w:r>
    </w:p>
    <w:p>
      <w:pPr>
        <w:autoSpaceDE w:val="0"/>
        <w:autoSpaceDN w:val="0"/>
        <w:adjustRightInd w:val="0"/>
        <w:snapToGrid w:val="0"/>
        <w:spacing w:line="360" w:lineRule="exact"/>
        <w:ind w:firstLine="560" w:firstLineChars="200"/>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（1）开标时间同投标截止时间，开标地点为</w:t>
      </w:r>
      <w:r>
        <w:rPr>
          <w:rFonts w:hint="eastAsia" w:ascii="仿宋_GB2312" w:hAnsi="仿宋_GB2312" w:eastAsia="仿宋_GB2312" w:cs="仿宋_GB2312"/>
          <w:b/>
          <w:color w:val="auto"/>
          <w:sz w:val="28"/>
          <w:szCs w:val="28"/>
        </w:rPr>
        <w:t>杭州萧山国际机场翔越路综合服务楼园区招标中心。</w:t>
      </w:r>
    </w:p>
    <w:p>
      <w:pPr>
        <w:widowControl/>
        <w:adjustRightInd w:val="0"/>
        <w:snapToGrid w:val="0"/>
        <w:spacing w:line="360" w:lineRule="exact"/>
        <w:ind w:firstLine="560" w:firstLineChars="200"/>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（2）由投标人或者其集体推选的代表检查投标文件的密封情况，开标顺序按照后送达先开的顺序。</w:t>
      </w:r>
    </w:p>
    <w:p>
      <w:pPr>
        <w:widowControl/>
        <w:adjustRightInd w:val="0"/>
        <w:snapToGrid w:val="0"/>
        <w:spacing w:line="360" w:lineRule="exact"/>
        <w:rPr>
          <w:rFonts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八、其他说明</w:t>
      </w:r>
    </w:p>
    <w:p>
      <w:pPr>
        <w:widowControl/>
        <w:adjustRightInd w:val="0"/>
        <w:snapToGrid w:val="0"/>
        <w:spacing w:line="360" w:lineRule="exact"/>
        <w:ind w:firstLine="560" w:firstLineChars="200"/>
        <w:rPr>
          <w:rFonts w:ascii="仿宋_GB2312" w:hAnsi="仿宋_GB2312" w:eastAsia="仿宋_GB2312" w:cs="仿宋_GB2312"/>
          <w:b/>
          <w:bCs/>
          <w:color w:val="auto"/>
          <w:kern w:val="0"/>
          <w:sz w:val="28"/>
          <w:szCs w:val="28"/>
        </w:rPr>
      </w:pPr>
      <w:r>
        <w:rPr>
          <w:rFonts w:hint="eastAsia" w:ascii="仿宋_GB2312" w:hAnsi="仿宋_GB2312" w:eastAsia="仿宋_GB2312" w:cs="仿宋_GB2312"/>
          <w:color w:val="auto"/>
          <w:kern w:val="0"/>
          <w:sz w:val="28"/>
          <w:szCs w:val="28"/>
        </w:rPr>
        <w:t>（1）采取公开招标和资格后审。</w:t>
      </w:r>
    </w:p>
    <w:p>
      <w:pPr>
        <w:widowControl/>
        <w:adjustRightInd w:val="0"/>
        <w:snapToGrid w:val="0"/>
        <w:spacing w:line="360" w:lineRule="exact"/>
        <w:ind w:firstLine="560" w:firstLineChars="200"/>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（2）评标委员会由3人及以上单数构成。</w:t>
      </w:r>
    </w:p>
    <w:p>
      <w:pPr>
        <w:widowControl/>
        <w:adjustRightInd w:val="0"/>
        <w:snapToGrid w:val="0"/>
        <w:spacing w:line="360" w:lineRule="exact"/>
        <w:ind w:firstLine="560" w:firstLineChars="200"/>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（3）评标委员会成员招标人自行组建。</w:t>
      </w:r>
    </w:p>
    <w:p>
      <w:pPr>
        <w:widowControl/>
        <w:adjustRightInd w:val="0"/>
        <w:snapToGrid w:val="0"/>
        <w:spacing w:line="3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（4）评标委员会推荐的中标候选人数：1人。</w:t>
      </w:r>
    </w:p>
    <w:p>
      <w:pPr>
        <w:widowControl/>
        <w:adjustRightInd w:val="0"/>
        <w:snapToGrid w:val="0"/>
        <w:spacing w:line="360" w:lineRule="exact"/>
        <w:ind w:firstLine="560" w:firstLineChars="200"/>
        <w:rPr>
          <w:rFonts w:ascii="仿宋_GB2312" w:hAnsi="仿宋_GB2312" w:eastAsia="仿宋_GB2312" w:cs="仿宋_GB2312"/>
          <w:color w:val="auto"/>
          <w:kern w:val="0"/>
          <w:sz w:val="28"/>
          <w:szCs w:val="28"/>
        </w:rPr>
      </w:pPr>
      <w:bookmarkStart w:id="4" w:name="_Toc3775"/>
      <w:bookmarkStart w:id="5" w:name="_Toc19218"/>
      <w:r>
        <w:rPr>
          <w:rFonts w:hint="eastAsia" w:ascii="仿宋_GB2312" w:hAnsi="仿宋_GB2312" w:eastAsia="仿宋_GB2312" w:cs="仿宋_GB2312"/>
          <w:color w:val="auto"/>
          <w:kern w:val="0"/>
          <w:sz w:val="28"/>
          <w:szCs w:val="28"/>
        </w:rPr>
        <w:t>（5）</w:t>
      </w:r>
      <w:bookmarkEnd w:id="4"/>
      <w:bookmarkEnd w:id="5"/>
      <w:r>
        <w:rPr>
          <w:rFonts w:hint="eastAsia" w:ascii="仿宋_GB2312" w:hAnsi="仿宋_GB2312" w:eastAsia="仿宋_GB2312" w:cs="仿宋_GB2312"/>
          <w:color w:val="auto"/>
          <w:kern w:val="0"/>
          <w:sz w:val="28"/>
          <w:szCs w:val="28"/>
        </w:rPr>
        <w:t>本次评标采用经评审的最低价法推荐中标候选人。</w:t>
      </w:r>
    </w:p>
    <w:p>
      <w:pPr>
        <w:widowControl/>
        <w:snapToGrid w:val="0"/>
        <w:spacing w:line="360" w:lineRule="exact"/>
        <w:jc w:val="left"/>
        <w:rPr>
          <w:rFonts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九、重新招标和不再招标</w:t>
      </w:r>
    </w:p>
    <w:p>
      <w:pPr>
        <w:widowControl/>
        <w:adjustRightInd w:val="0"/>
        <w:snapToGrid w:val="0"/>
        <w:spacing w:line="360" w:lineRule="exact"/>
        <w:ind w:firstLine="560" w:firstLineChars="200"/>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（1）重新招标</w:t>
      </w:r>
    </w:p>
    <w:p>
      <w:pPr>
        <w:widowControl/>
        <w:adjustRightInd w:val="0"/>
        <w:snapToGrid w:val="0"/>
        <w:spacing w:line="360" w:lineRule="exact"/>
        <w:ind w:firstLine="560" w:firstLineChars="200"/>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有下列情形之一的，招标人将重新招标：</w:t>
      </w:r>
    </w:p>
    <w:p>
      <w:pPr>
        <w:widowControl/>
        <w:adjustRightInd w:val="0"/>
        <w:snapToGrid w:val="0"/>
        <w:spacing w:line="360" w:lineRule="exact"/>
        <w:ind w:firstLine="560" w:firstLineChars="200"/>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fldChar w:fldCharType="begin"/>
      </w:r>
      <w:r>
        <w:rPr>
          <w:rFonts w:hint="eastAsia" w:ascii="仿宋_GB2312" w:hAnsi="仿宋_GB2312" w:eastAsia="仿宋_GB2312" w:cs="仿宋_GB2312"/>
          <w:color w:val="auto"/>
          <w:kern w:val="0"/>
          <w:sz w:val="28"/>
          <w:szCs w:val="28"/>
        </w:rPr>
        <w:instrText xml:space="preserve"> = 1 \* GB3 \* MERGEFORMAT </w:instrText>
      </w:r>
      <w:r>
        <w:rPr>
          <w:rFonts w:hint="eastAsia" w:ascii="仿宋_GB2312" w:hAnsi="仿宋_GB2312" w:eastAsia="仿宋_GB2312" w:cs="仿宋_GB2312"/>
          <w:color w:val="auto"/>
          <w:kern w:val="0"/>
          <w:sz w:val="28"/>
          <w:szCs w:val="28"/>
        </w:rPr>
        <w:fldChar w:fldCharType="separate"/>
      </w:r>
      <w:r>
        <w:rPr>
          <w:rFonts w:hint="eastAsia" w:ascii="仿宋_GB2312" w:hAnsi="仿宋_GB2312" w:eastAsia="仿宋_GB2312" w:cs="仿宋_GB2312"/>
          <w:color w:val="auto"/>
          <w:sz w:val="28"/>
          <w:szCs w:val="28"/>
        </w:rPr>
        <w:t>①</w:t>
      </w:r>
      <w:r>
        <w:rPr>
          <w:rFonts w:hint="eastAsia" w:ascii="仿宋_GB2312" w:hAnsi="仿宋_GB2312" w:eastAsia="仿宋_GB2312" w:cs="仿宋_GB2312"/>
          <w:color w:val="auto"/>
          <w:kern w:val="0"/>
          <w:sz w:val="28"/>
          <w:szCs w:val="28"/>
        </w:rPr>
        <w:fldChar w:fldCharType="end"/>
      </w:r>
      <w:r>
        <w:rPr>
          <w:rFonts w:hint="eastAsia" w:ascii="仿宋_GB2312" w:hAnsi="仿宋_GB2312" w:eastAsia="仿宋_GB2312" w:cs="仿宋_GB2312"/>
          <w:color w:val="auto"/>
          <w:kern w:val="0"/>
          <w:sz w:val="28"/>
          <w:szCs w:val="28"/>
        </w:rPr>
        <w:t>投标截止时间止，投标人少于3个的；</w:t>
      </w:r>
    </w:p>
    <w:p>
      <w:pPr>
        <w:widowControl/>
        <w:adjustRightInd w:val="0"/>
        <w:snapToGrid w:val="0"/>
        <w:spacing w:line="360" w:lineRule="exact"/>
        <w:ind w:firstLine="560" w:firstLineChars="200"/>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fldChar w:fldCharType="begin"/>
      </w:r>
      <w:r>
        <w:rPr>
          <w:rFonts w:hint="eastAsia" w:ascii="仿宋_GB2312" w:hAnsi="仿宋_GB2312" w:eastAsia="仿宋_GB2312" w:cs="仿宋_GB2312"/>
          <w:color w:val="auto"/>
          <w:kern w:val="0"/>
          <w:sz w:val="28"/>
          <w:szCs w:val="28"/>
        </w:rPr>
        <w:instrText xml:space="preserve"> = 2 \* GB3 \* MERGEFORMAT </w:instrText>
      </w:r>
      <w:r>
        <w:rPr>
          <w:rFonts w:hint="eastAsia" w:ascii="仿宋_GB2312" w:hAnsi="仿宋_GB2312" w:eastAsia="仿宋_GB2312" w:cs="仿宋_GB2312"/>
          <w:color w:val="auto"/>
          <w:kern w:val="0"/>
          <w:sz w:val="28"/>
          <w:szCs w:val="28"/>
        </w:rPr>
        <w:fldChar w:fldCharType="separate"/>
      </w:r>
      <w:r>
        <w:rPr>
          <w:rFonts w:hint="eastAsia" w:ascii="仿宋_GB2312" w:hAnsi="仿宋_GB2312" w:eastAsia="仿宋_GB2312" w:cs="仿宋_GB2312"/>
          <w:color w:val="auto"/>
          <w:sz w:val="28"/>
          <w:szCs w:val="28"/>
        </w:rPr>
        <w:t>②</w:t>
      </w:r>
      <w:r>
        <w:rPr>
          <w:rFonts w:hint="eastAsia" w:ascii="仿宋_GB2312" w:hAnsi="仿宋_GB2312" w:eastAsia="仿宋_GB2312" w:cs="仿宋_GB2312"/>
          <w:color w:val="auto"/>
          <w:kern w:val="0"/>
          <w:sz w:val="28"/>
          <w:szCs w:val="28"/>
        </w:rPr>
        <w:fldChar w:fldCharType="end"/>
      </w:r>
      <w:r>
        <w:rPr>
          <w:rFonts w:hint="eastAsia" w:ascii="仿宋_GB2312" w:hAnsi="仿宋_GB2312" w:eastAsia="仿宋_GB2312" w:cs="仿宋_GB2312"/>
          <w:color w:val="auto"/>
          <w:kern w:val="0"/>
          <w:sz w:val="28"/>
          <w:szCs w:val="28"/>
        </w:rPr>
        <w:t>所有投标人的报价均偏高，招标人无法接受的；</w:t>
      </w:r>
    </w:p>
    <w:p>
      <w:pPr>
        <w:widowControl/>
        <w:adjustRightInd w:val="0"/>
        <w:snapToGrid w:val="0"/>
        <w:spacing w:line="360" w:lineRule="exact"/>
        <w:ind w:firstLine="560" w:firstLineChars="200"/>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fldChar w:fldCharType="begin"/>
      </w:r>
      <w:r>
        <w:rPr>
          <w:rFonts w:hint="eastAsia" w:ascii="仿宋_GB2312" w:hAnsi="仿宋_GB2312" w:eastAsia="仿宋_GB2312" w:cs="仿宋_GB2312"/>
          <w:color w:val="auto"/>
          <w:kern w:val="0"/>
          <w:sz w:val="28"/>
          <w:szCs w:val="28"/>
        </w:rPr>
        <w:instrText xml:space="preserve"> = 3 \* GB3 \* MERGEFORMAT </w:instrText>
      </w:r>
      <w:r>
        <w:rPr>
          <w:rFonts w:hint="eastAsia" w:ascii="仿宋_GB2312" w:hAnsi="仿宋_GB2312" w:eastAsia="仿宋_GB2312" w:cs="仿宋_GB2312"/>
          <w:color w:val="auto"/>
          <w:kern w:val="0"/>
          <w:sz w:val="28"/>
          <w:szCs w:val="28"/>
        </w:rPr>
        <w:fldChar w:fldCharType="separate"/>
      </w:r>
      <w:r>
        <w:rPr>
          <w:rFonts w:hint="eastAsia" w:ascii="仿宋_GB2312" w:hAnsi="仿宋_GB2312" w:eastAsia="仿宋_GB2312" w:cs="仿宋_GB2312"/>
          <w:color w:val="auto"/>
          <w:sz w:val="28"/>
          <w:szCs w:val="28"/>
        </w:rPr>
        <w:t>③</w:t>
      </w:r>
      <w:r>
        <w:rPr>
          <w:rFonts w:hint="eastAsia" w:ascii="仿宋_GB2312" w:hAnsi="仿宋_GB2312" w:eastAsia="仿宋_GB2312" w:cs="仿宋_GB2312"/>
          <w:color w:val="auto"/>
          <w:kern w:val="0"/>
          <w:sz w:val="28"/>
          <w:szCs w:val="28"/>
        </w:rPr>
        <w:fldChar w:fldCharType="end"/>
      </w:r>
      <w:r>
        <w:rPr>
          <w:rFonts w:hint="eastAsia" w:ascii="仿宋_GB2312" w:hAnsi="仿宋_GB2312" w:eastAsia="仿宋_GB2312" w:cs="仿宋_GB2312"/>
          <w:color w:val="auto"/>
          <w:kern w:val="0"/>
          <w:sz w:val="28"/>
          <w:szCs w:val="28"/>
        </w:rPr>
        <w:t>经评标委员会评审后否决所有投标的。</w:t>
      </w:r>
    </w:p>
    <w:p>
      <w:pPr>
        <w:widowControl/>
        <w:adjustRightInd w:val="0"/>
        <w:snapToGrid w:val="0"/>
        <w:spacing w:line="360" w:lineRule="exact"/>
        <w:ind w:firstLine="560" w:firstLineChars="200"/>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投标人少于3个或经评审有效投标人少于3个，招标人不再另行发布通知，重新招标公告发布即表示本项目已进入新一轮招标。</w:t>
      </w:r>
    </w:p>
    <w:p>
      <w:pPr>
        <w:widowControl/>
        <w:adjustRightInd w:val="0"/>
        <w:snapToGrid w:val="0"/>
        <w:spacing w:line="360" w:lineRule="exact"/>
        <w:ind w:firstLine="560" w:firstLineChars="200"/>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（2）不再招标</w:t>
      </w:r>
    </w:p>
    <w:p>
      <w:pPr>
        <w:widowControl/>
        <w:adjustRightInd w:val="0"/>
        <w:snapToGrid w:val="0"/>
        <w:spacing w:line="360" w:lineRule="exact"/>
        <w:ind w:firstLine="560" w:firstLineChars="200"/>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重新招标后投标人仍少于3个或者所有投标被否决的，经批准后可采用其他方式实施。</w:t>
      </w:r>
    </w:p>
    <w:p>
      <w:pPr>
        <w:widowControl/>
        <w:snapToGrid w:val="0"/>
        <w:spacing w:line="360" w:lineRule="exact"/>
        <w:jc w:val="left"/>
        <w:rPr>
          <w:rFonts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十、发布公告的媒介</w:t>
      </w:r>
    </w:p>
    <w:p>
      <w:pPr>
        <w:snapToGrid w:val="0"/>
        <w:spacing w:line="3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本次招标公告在杭州萧山机场有限公司主页http://www.hzairport.com上进行发布。</w:t>
      </w:r>
    </w:p>
    <w:p>
      <w:pPr>
        <w:widowControl/>
        <w:snapToGrid w:val="0"/>
        <w:spacing w:line="360" w:lineRule="exact"/>
        <w:jc w:val="left"/>
        <w:rPr>
          <w:rFonts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十一、联系方式</w:t>
      </w:r>
    </w:p>
    <w:p>
      <w:pPr>
        <w:widowControl/>
        <w:snapToGrid w:val="0"/>
        <w:spacing w:line="36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投标联系人：吴淼清        联系电话：0571-86662348 </w:t>
      </w:r>
    </w:p>
    <w:p>
      <w:pPr>
        <w:widowControl/>
        <w:snapToGrid w:val="0"/>
        <w:spacing w:line="36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监督联系人：闻晓丽        联系电话：0571-86662361</w:t>
      </w:r>
    </w:p>
    <w:p>
      <w:pPr>
        <w:spacing w:line="360" w:lineRule="exact"/>
        <w:rPr>
          <w:rFonts w:ascii="仿宋_GB2312" w:hAnsi="仿宋_GB2312" w:eastAsia="仿宋_GB2312" w:cs="仿宋_GB2312"/>
          <w:color w:val="auto"/>
          <w:sz w:val="28"/>
          <w:szCs w:val="28"/>
        </w:rPr>
      </w:pPr>
    </w:p>
    <w:bookmarkEnd w:id="2"/>
    <w:bookmarkEnd w:id="3"/>
    <w:p>
      <w:pPr>
        <w:pStyle w:val="9"/>
        <w:pageBreakBefore/>
        <w:spacing w:before="0" w:after="0" w:line="560" w:lineRule="exact"/>
        <w:rPr>
          <w:color w:val="auto"/>
        </w:rPr>
      </w:pPr>
      <w:bookmarkStart w:id="6" w:name="_Toc31305"/>
      <w:bookmarkStart w:id="7" w:name="_Toc568"/>
      <w:bookmarkStart w:id="8" w:name="_Toc27752"/>
      <w:bookmarkStart w:id="9" w:name="_Toc448097404"/>
      <w:bookmarkStart w:id="10" w:name="_Toc24237"/>
      <w:r>
        <w:rPr>
          <w:color w:val="auto"/>
        </w:rPr>
        <w:t>第</w:t>
      </w:r>
      <w:r>
        <w:rPr>
          <w:rFonts w:hint="eastAsia"/>
          <w:color w:val="auto"/>
        </w:rPr>
        <w:t>二</w:t>
      </w:r>
      <w:r>
        <w:rPr>
          <w:color w:val="auto"/>
        </w:rPr>
        <w:t xml:space="preserve">章 </w:t>
      </w:r>
      <w:r>
        <w:rPr>
          <w:rFonts w:hint="eastAsia"/>
          <w:color w:val="auto"/>
        </w:rPr>
        <w:t>评标办法</w:t>
      </w:r>
      <w:bookmarkEnd w:id="6"/>
      <w:bookmarkEnd w:id="7"/>
    </w:p>
    <w:bookmarkEnd w:id="8"/>
    <w:p>
      <w:pPr>
        <w:adjustRightInd w:val="0"/>
        <w:snapToGrid w:val="0"/>
        <w:spacing w:line="3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根据《中华人民共和国招标投标法》、《中华人民共和国招标投标法实施条例》等有关规定，制定本办法。</w:t>
      </w:r>
    </w:p>
    <w:p>
      <w:pPr>
        <w:snapToGrid w:val="0"/>
        <w:spacing w:line="360" w:lineRule="exact"/>
        <w:ind w:firstLine="549" w:firstLineChars="196"/>
        <w:rPr>
          <w:rFonts w:ascii="仿宋_GB2312" w:hAnsi="仿宋_GB2312" w:eastAsia="仿宋_GB2312" w:cs="仿宋_GB2312"/>
          <w:b/>
          <w:color w:val="auto"/>
          <w:kern w:val="0"/>
          <w:sz w:val="28"/>
          <w:szCs w:val="28"/>
        </w:rPr>
      </w:pPr>
      <w:r>
        <w:rPr>
          <w:rFonts w:hint="eastAsia" w:ascii="仿宋_GB2312" w:hAnsi="仿宋_GB2312" w:eastAsia="仿宋_GB2312" w:cs="仿宋_GB2312"/>
          <w:b/>
          <w:color w:val="auto"/>
          <w:kern w:val="0"/>
          <w:sz w:val="28"/>
          <w:szCs w:val="28"/>
        </w:rPr>
        <w:t>一、评标原则</w:t>
      </w:r>
    </w:p>
    <w:p>
      <w:pPr>
        <w:snapToGrid w:val="0"/>
        <w:spacing w:line="360" w:lineRule="exact"/>
        <w:ind w:firstLine="560" w:firstLineChars="200"/>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评标应遵循公平、公正、科学、择优的原则。</w:t>
      </w:r>
    </w:p>
    <w:p>
      <w:pPr>
        <w:snapToGrid w:val="0"/>
        <w:spacing w:line="360" w:lineRule="exact"/>
        <w:ind w:firstLine="560" w:firstLineChars="200"/>
        <w:rPr>
          <w:rFonts w:ascii="仿宋_GB2312" w:hAnsi="仿宋_GB2312" w:eastAsia="仿宋_GB2312" w:cs="仿宋_GB2312"/>
          <w:b/>
          <w:color w:val="auto"/>
          <w:kern w:val="0"/>
          <w:sz w:val="28"/>
          <w:szCs w:val="28"/>
        </w:rPr>
      </w:pPr>
      <w:r>
        <w:rPr>
          <w:rFonts w:hint="eastAsia" w:ascii="仿宋_GB2312" w:hAnsi="仿宋_GB2312" w:eastAsia="仿宋_GB2312" w:cs="仿宋_GB2312"/>
          <w:b/>
          <w:color w:val="auto"/>
          <w:kern w:val="0"/>
          <w:sz w:val="28"/>
          <w:szCs w:val="28"/>
        </w:rPr>
        <w:t>二、评标组织</w:t>
      </w:r>
    </w:p>
    <w:p>
      <w:pPr>
        <w:adjustRightInd w:val="0"/>
        <w:snapToGrid w:val="0"/>
        <w:spacing w:line="3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评标工作由招标人依法组建的评标委员会负责。</w:t>
      </w:r>
    </w:p>
    <w:p>
      <w:pPr>
        <w:adjustRightInd w:val="0"/>
        <w:snapToGrid w:val="0"/>
        <w:spacing w:line="3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评标委员会对投标文件作出的评审结论，应当符合有关法律、法规、规章和招标文件的规定。</w:t>
      </w:r>
    </w:p>
    <w:p>
      <w:pPr>
        <w:adjustRightInd w:val="0"/>
        <w:snapToGrid w:val="0"/>
        <w:spacing w:line="3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在任何评标环节中，评标委员会就某项定性的评审结论意见不一致的，由评标委员会全体成员按照少数服从多数的原则，以记名投票方式表决。</w:t>
      </w:r>
    </w:p>
    <w:p>
      <w:pPr>
        <w:snapToGrid w:val="0"/>
        <w:spacing w:line="360" w:lineRule="exact"/>
        <w:ind w:firstLine="560" w:firstLineChars="200"/>
        <w:rPr>
          <w:rFonts w:ascii="仿宋_GB2312" w:hAnsi="仿宋_GB2312" w:eastAsia="仿宋_GB2312" w:cs="仿宋_GB2312"/>
          <w:b/>
          <w:color w:val="auto"/>
          <w:kern w:val="0"/>
          <w:sz w:val="28"/>
          <w:szCs w:val="28"/>
        </w:rPr>
      </w:pPr>
      <w:r>
        <w:rPr>
          <w:rFonts w:hint="eastAsia" w:ascii="仿宋_GB2312" w:hAnsi="仿宋_GB2312" w:eastAsia="仿宋_GB2312" w:cs="仿宋_GB2312"/>
          <w:b/>
          <w:color w:val="auto"/>
          <w:kern w:val="0"/>
          <w:sz w:val="28"/>
          <w:szCs w:val="28"/>
        </w:rPr>
        <w:t>三、评标程序和内容</w:t>
      </w:r>
    </w:p>
    <w:p>
      <w:pPr>
        <w:adjustRightInd w:val="0"/>
        <w:snapToGrid w:val="0"/>
        <w:spacing w:line="3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(一)熟悉招标文件和评标办法；</w:t>
      </w:r>
    </w:p>
    <w:p>
      <w:pPr>
        <w:adjustRightInd w:val="0"/>
        <w:snapToGrid w:val="0"/>
        <w:spacing w:line="3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(二)投标文件的符合性评审；</w:t>
      </w:r>
    </w:p>
    <w:p>
      <w:pPr>
        <w:adjustRightInd w:val="0"/>
        <w:snapToGrid w:val="0"/>
        <w:spacing w:line="3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(三)必要时对投标文件中的问题进行询标；</w:t>
      </w:r>
    </w:p>
    <w:p>
      <w:pPr>
        <w:adjustRightInd w:val="0"/>
        <w:snapToGrid w:val="0"/>
        <w:spacing w:line="3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(四)对投标人进行排序，推荐中标候选人，完成评标报告。</w:t>
      </w:r>
    </w:p>
    <w:p>
      <w:pPr>
        <w:adjustRightInd w:val="0"/>
        <w:snapToGrid w:val="0"/>
        <w:spacing w:line="360" w:lineRule="exact"/>
        <w:ind w:firstLine="560" w:firstLineChars="200"/>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四、评审细则</w:t>
      </w:r>
    </w:p>
    <w:p>
      <w:pPr>
        <w:adjustRightInd w:val="0"/>
        <w:snapToGrid w:val="0"/>
        <w:spacing w:line="360" w:lineRule="exact"/>
        <w:ind w:firstLine="560" w:firstLineChars="200"/>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(一)符合性评审</w:t>
      </w:r>
    </w:p>
    <w:p>
      <w:pPr>
        <w:adjustRightInd w:val="0"/>
        <w:snapToGrid w:val="0"/>
        <w:spacing w:line="3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评标委员会应依照招标文件的要求和规定首先对投标人的投标资格和投标文件进行符合性评审，</w:t>
      </w:r>
      <w:r>
        <w:rPr>
          <w:rFonts w:hint="eastAsia" w:ascii="仿宋_GB2312" w:hAnsi="仿宋_GB2312" w:eastAsia="仿宋_GB2312" w:cs="仿宋_GB2312"/>
          <w:b/>
          <w:color w:val="auto"/>
          <w:sz w:val="28"/>
          <w:szCs w:val="28"/>
        </w:rPr>
        <w:t>审查过程中评标委员会可以要求投标人提交有关证明和证件的原件，以便核验。</w:t>
      </w:r>
      <w:r>
        <w:rPr>
          <w:rFonts w:hint="eastAsia" w:ascii="仿宋_GB2312" w:hAnsi="仿宋_GB2312" w:eastAsia="仿宋_GB2312" w:cs="仿宋_GB2312"/>
          <w:color w:val="auto"/>
          <w:sz w:val="28"/>
          <w:szCs w:val="28"/>
        </w:rPr>
        <w:t>经评标委员会评审后，符合性审查不予通过，不再进行下一步评审。</w:t>
      </w:r>
    </w:p>
    <w:p>
      <w:pPr>
        <w:adjustRightInd w:val="0"/>
        <w:snapToGrid w:val="0"/>
        <w:spacing w:line="360" w:lineRule="exact"/>
        <w:ind w:firstLine="560" w:firstLineChars="200"/>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(二)询标</w:t>
      </w:r>
    </w:p>
    <w:p>
      <w:pPr>
        <w:adjustRightInd w:val="0"/>
        <w:snapToGrid w:val="0"/>
        <w:spacing w:line="3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(1)投标文件中有含义不明确的内容、明显文字或计算错误，评标委员会认为需要投标人作出必要澄清、说明的，应当组织询标。</w:t>
      </w:r>
    </w:p>
    <w:p>
      <w:pPr>
        <w:adjustRightInd w:val="0"/>
        <w:snapToGrid w:val="0"/>
        <w:spacing w:line="3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(2)投标人所留联系方式无法联系上、在规定的时限内投标人不参加询标或不予答复的，投标人自行承担放弃询标机会的后果。</w:t>
      </w:r>
    </w:p>
    <w:p>
      <w:pPr>
        <w:adjustRightInd w:val="0"/>
        <w:snapToGrid w:val="0"/>
        <w:spacing w:line="3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(3)询标问题及投标人的澄清、说明不得超出投标文件的范围或者改变投标文件的实质性内容。</w:t>
      </w:r>
    </w:p>
    <w:p>
      <w:pPr>
        <w:adjustRightInd w:val="0"/>
        <w:snapToGrid w:val="0"/>
        <w:spacing w:line="3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(4)评标委员会不得暗示或者诱导投标人作出澄清、说明，不得接受投标人主动提出的澄清、说明。</w:t>
      </w:r>
    </w:p>
    <w:p>
      <w:pPr>
        <w:adjustRightInd w:val="0"/>
        <w:snapToGrid w:val="0"/>
        <w:spacing w:line="360" w:lineRule="exact"/>
        <w:ind w:firstLine="560" w:firstLineChars="200"/>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(三)错误的修正</w:t>
      </w:r>
    </w:p>
    <w:p>
      <w:pPr>
        <w:adjustRightInd w:val="0"/>
        <w:snapToGrid w:val="0"/>
        <w:spacing w:line="3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投标报价中用数字表示的数额与用文字表示的数额不一致时，一律以投标函中用文字表示的投标报价为准。</w:t>
      </w:r>
    </w:p>
    <w:p>
      <w:pPr>
        <w:adjustRightInd w:val="0"/>
        <w:snapToGrid w:val="0"/>
        <w:spacing w:line="3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当投标函中的投标报价与投标报价表中的投标报价不一致，或投标报价表中存在计算错误，或投标函载明的大写数额有明显错误，或投标报价存在其他错误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spacing w:line="360" w:lineRule="exact"/>
        <w:ind w:firstLine="560" w:firstLineChars="200"/>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该错误即使在评标阶段未被发现，招标人有权在合同签订前按以上原则对价格进行修正，并按修正后的价格进行签约，投标人不接受修正价格的，将取消其中标候选人或中标人资格。</w:t>
      </w:r>
    </w:p>
    <w:p>
      <w:pPr>
        <w:adjustRightInd w:val="0"/>
        <w:snapToGrid w:val="0"/>
        <w:spacing w:line="3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(四)对投标人进行排序，推荐中标候选人</w:t>
      </w:r>
    </w:p>
    <w:p>
      <w:pPr>
        <w:adjustRightInd w:val="0"/>
        <w:snapToGrid w:val="0"/>
        <w:spacing w:line="3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投标报价扣除税金(按投标函承诺的增值税税率扣减)后为评标价(即不含税价)。</w:t>
      </w:r>
    </w:p>
    <w:p>
      <w:pPr>
        <w:adjustRightInd w:val="0"/>
        <w:snapToGrid w:val="0"/>
        <w:spacing w:line="3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评标委员会通过符合性审查的投标文件按评标价由低到高进行排序，评标价相同时，由评标委员会通过抽签(或记名投票表决)方式排序。</w:t>
      </w:r>
    </w:p>
    <w:p>
      <w:pPr>
        <w:adjustRightInd w:val="0"/>
        <w:snapToGrid w:val="0"/>
        <w:spacing w:line="3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评标委员会负责推荐中标候选人。</w:t>
      </w:r>
    </w:p>
    <w:p>
      <w:pPr>
        <w:adjustRightInd w:val="0"/>
        <w:snapToGrid w:val="0"/>
        <w:spacing w:line="360" w:lineRule="exact"/>
        <w:ind w:firstLine="560" w:firstLineChars="200"/>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（五）重新招标和不再招标</w:t>
      </w:r>
    </w:p>
    <w:p>
      <w:pPr>
        <w:adjustRightInd w:val="0"/>
        <w:snapToGrid w:val="0"/>
        <w:spacing w:line="3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有下列情形之一的，招标人将重新招标：</w:t>
      </w:r>
    </w:p>
    <w:p>
      <w:pPr>
        <w:adjustRightInd w:val="0"/>
        <w:snapToGrid w:val="0"/>
        <w:spacing w:line="3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(1)投标截止时间止，投标人少于3个的；</w:t>
      </w:r>
    </w:p>
    <w:p>
      <w:pPr>
        <w:adjustRightInd w:val="0"/>
        <w:snapToGrid w:val="0"/>
        <w:spacing w:line="3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(2)所有投标人的报价均偏高，招标人无法接受的；</w:t>
      </w:r>
    </w:p>
    <w:p>
      <w:pPr>
        <w:adjustRightInd w:val="0"/>
        <w:snapToGrid w:val="0"/>
        <w:spacing w:line="3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(3)经评标委员会评审后否决所有投标的。</w:t>
      </w:r>
    </w:p>
    <w:p>
      <w:pPr>
        <w:adjustRightInd w:val="0"/>
        <w:snapToGrid w:val="0"/>
        <w:spacing w:line="360" w:lineRule="exact"/>
        <w:ind w:firstLine="560" w:firstLineChars="200"/>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投标人少于3个或经评审有效投标人少于3个，招标人不再另行发布通知，重新招标公告发布即表示本项目已进入新一轮招标。</w:t>
      </w:r>
    </w:p>
    <w:p>
      <w:pPr>
        <w:adjustRightInd w:val="0"/>
        <w:snapToGrid w:val="0"/>
        <w:spacing w:line="3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重新招标后投标人仍少于3个或者所有投标被否决的，经批准后可采用其他方式实施。</w:t>
      </w:r>
    </w:p>
    <w:p>
      <w:pPr>
        <w:adjustRightInd w:val="0"/>
        <w:snapToGrid w:val="0"/>
        <w:spacing w:line="360" w:lineRule="exact"/>
        <w:ind w:firstLine="560" w:firstLineChars="200"/>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五、完成评标报告</w:t>
      </w:r>
    </w:p>
    <w:p>
      <w:pPr>
        <w:adjustRightInd w:val="0"/>
        <w:snapToGrid w:val="0"/>
        <w:spacing w:line="3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(一)评标委员会应当向招标人提交书面评标报告。</w:t>
      </w:r>
      <w:r>
        <w:rPr>
          <w:rFonts w:hint="eastAsia" w:ascii="仿宋_GB2312" w:hAnsi="仿宋_GB2312" w:eastAsia="仿宋_GB2312" w:cs="仿宋_GB2312"/>
          <w:color w:val="auto"/>
          <w:sz w:val="28"/>
          <w:szCs w:val="28"/>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ind w:firstLine="560" w:firstLineChars="200"/>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(二)评标报告应包括以下内容：</w:t>
      </w:r>
    </w:p>
    <w:p>
      <w:pPr>
        <w:adjustRightInd w:val="0"/>
        <w:snapToGrid w:val="0"/>
        <w:spacing w:line="3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1、开标记录；</w:t>
      </w:r>
    </w:p>
    <w:p>
      <w:pPr>
        <w:adjustRightInd w:val="0"/>
        <w:snapToGrid w:val="0"/>
        <w:spacing w:line="3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2、评标内容、过程和结果；</w:t>
      </w:r>
    </w:p>
    <w:p>
      <w:pPr>
        <w:adjustRightInd w:val="0"/>
        <w:snapToGrid w:val="0"/>
        <w:spacing w:line="3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3、询标澄清纪要(若有)；</w:t>
      </w:r>
    </w:p>
    <w:p>
      <w:pPr>
        <w:adjustRightInd w:val="0"/>
        <w:snapToGrid w:val="0"/>
        <w:spacing w:line="3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4、否决投标情况说明及依据；</w:t>
      </w:r>
    </w:p>
    <w:p>
      <w:pPr>
        <w:adjustRightInd w:val="0"/>
        <w:snapToGrid w:val="0"/>
        <w:spacing w:line="3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5、推荐中标候选人；</w:t>
      </w:r>
    </w:p>
    <w:p>
      <w:pPr>
        <w:adjustRightInd w:val="0"/>
        <w:snapToGrid w:val="0"/>
        <w:spacing w:line="3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6、其他建议。</w:t>
      </w:r>
    </w:p>
    <w:p>
      <w:pPr>
        <w:pStyle w:val="9"/>
        <w:spacing w:before="0" w:after="0" w:line="560" w:lineRule="exact"/>
        <w:rPr>
          <w:color w:val="auto"/>
        </w:rPr>
      </w:pPr>
      <w:r>
        <w:rPr>
          <w:rFonts w:ascii="宋体" w:hAnsi="宋体" w:cs="宋体"/>
          <w:color w:val="auto"/>
          <w:sz w:val="22"/>
        </w:rPr>
        <w:br w:type="page"/>
      </w:r>
    </w:p>
    <w:p>
      <w:pPr>
        <w:pStyle w:val="9"/>
        <w:spacing w:before="0" w:after="0" w:line="560" w:lineRule="exact"/>
        <w:rPr>
          <w:rFonts w:ascii="宋体" w:hAnsi="宋体" w:cs="宋体"/>
          <w:color w:val="auto"/>
          <w:sz w:val="28"/>
          <w:szCs w:val="20"/>
        </w:rPr>
      </w:pPr>
      <w:bookmarkStart w:id="11" w:name="_Toc26663"/>
      <w:r>
        <w:rPr>
          <w:rFonts w:hint="eastAsia"/>
          <w:color w:val="auto"/>
        </w:rPr>
        <w:t>第三章</w:t>
      </w:r>
      <w:r>
        <w:rPr>
          <w:color w:val="auto"/>
        </w:rPr>
        <w:t xml:space="preserve"> </w:t>
      </w:r>
      <w:r>
        <w:rPr>
          <w:rFonts w:hint="eastAsia"/>
          <w:color w:val="auto"/>
        </w:rPr>
        <w:t>合同条款及格式</w:t>
      </w:r>
      <w:bookmarkEnd w:id="9"/>
      <w:bookmarkEnd w:id="11"/>
      <w:bookmarkStart w:id="12" w:name="_Toc448097405"/>
    </w:p>
    <w:bookmarkEnd w:id="12"/>
    <w:p>
      <w:pPr>
        <w:spacing w:line="560" w:lineRule="exact"/>
        <w:jc w:val="right"/>
        <w:rPr>
          <w:rFonts w:ascii="仿宋_GB2312" w:hAnsi="仿宋_GB2312" w:eastAsia="仿宋_GB2312" w:cs="仿宋_GB2312"/>
          <w:color w:val="auto"/>
          <w:sz w:val="28"/>
          <w:szCs w:val="28"/>
        </w:rPr>
      </w:pPr>
      <w:bookmarkStart w:id="13" w:name="_Toc448097407"/>
      <w:r>
        <w:rPr>
          <w:rFonts w:hint="eastAsia" w:ascii="仿宋_GB2312" w:hAnsi="仿宋_GB2312" w:eastAsia="仿宋_GB2312" w:cs="仿宋_GB2312"/>
          <w:bCs/>
          <w:color w:val="auto"/>
          <w:sz w:val="28"/>
          <w:szCs w:val="28"/>
        </w:rPr>
        <w:t>合同编号：【        】</w:t>
      </w:r>
    </w:p>
    <w:p>
      <w:pPr>
        <w:spacing w:line="560" w:lineRule="exact"/>
        <w:jc w:val="center"/>
        <w:rPr>
          <w:rFonts w:ascii="仿宋" w:hAnsi="仿宋" w:eastAsia="仿宋" w:cs="仿宋"/>
          <w:color w:val="auto"/>
          <w:sz w:val="23"/>
          <w:szCs w:val="23"/>
        </w:rPr>
      </w:pPr>
    </w:p>
    <w:p>
      <w:pPr>
        <w:spacing w:line="560" w:lineRule="exact"/>
        <w:jc w:val="center"/>
        <w:rPr>
          <w:rFonts w:ascii="仿宋" w:hAnsi="仿宋" w:eastAsia="仿宋" w:cs="仿宋"/>
          <w:color w:val="auto"/>
          <w:sz w:val="23"/>
          <w:szCs w:val="23"/>
        </w:rPr>
      </w:pPr>
    </w:p>
    <w:p>
      <w:pPr>
        <w:spacing w:line="560" w:lineRule="exact"/>
        <w:jc w:val="center"/>
        <w:rPr>
          <w:rFonts w:ascii="仿宋" w:hAnsi="仿宋" w:eastAsia="仿宋" w:cs="仿宋"/>
          <w:color w:val="auto"/>
          <w:sz w:val="23"/>
          <w:szCs w:val="23"/>
        </w:rPr>
      </w:pPr>
    </w:p>
    <w:p>
      <w:pPr>
        <w:spacing w:line="560" w:lineRule="exact"/>
        <w:jc w:val="center"/>
        <w:rPr>
          <w:rFonts w:ascii="仿宋" w:hAnsi="仿宋" w:eastAsia="仿宋" w:cs="仿宋"/>
          <w:color w:val="auto"/>
          <w:sz w:val="23"/>
          <w:szCs w:val="23"/>
        </w:rPr>
      </w:pPr>
    </w:p>
    <w:p>
      <w:pPr>
        <w:spacing w:line="560" w:lineRule="exact"/>
        <w:jc w:val="center"/>
        <w:rPr>
          <w:rFonts w:ascii="黑体" w:hAnsi="黑体" w:eastAsia="黑体" w:cs="黑体"/>
          <w:b/>
          <w:bCs/>
          <w:color w:val="auto"/>
          <w:sz w:val="44"/>
          <w:szCs w:val="44"/>
        </w:rPr>
      </w:pPr>
      <w:r>
        <w:rPr>
          <w:rFonts w:hint="eastAsia" w:ascii="黑体" w:hAnsi="黑体" w:eastAsia="黑体" w:cs="黑体"/>
          <w:b/>
          <w:bCs/>
          <w:color w:val="auto"/>
          <w:sz w:val="44"/>
          <w:szCs w:val="44"/>
        </w:rPr>
        <w:t>杭州萧山国际机场T4航站楼国际中转厅电源敷设项目施工合同</w:t>
      </w:r>
    </w:p>
    <w:p>
      <w:pPr>
        <w:spacing w:line="560" w:lineRule="exact"/>
        <w:ind w:firstLine="2070" w:firstLineChars="900"/>
        <w:rPr>
          <w:rFonts w:ascii="黑体" w:hAnsi="黑体" w:eastAsia="黑体" w:cs="黑体"/>
          <w:color w:val="auto"/>
          <w:sz w:val="23"/>
          <w:szCs w:val="23"/>
        </w:rPr>
      </w:pPr>
    </w:p>
    <w:p>
      <w:pPr>
        <w:spacing w:line="560" w:lineRule="exact"/>
        <w:ind w:firstLine="2070" w:firstLineChars="900"/>
        <w:rPr>
          <w:rFonts w:ascii="黑体" w:hAnsi="黑体" w:eastAsia="黑体" w:cs="黑体"/>
          <w:color w:val="auto"/>
          <w:sz w:val="23"/>
          <w:szCs w:val="23"/>
        </w:rPr>
      </w:pPr>
    </w:p>
    <w:p>
      <w:pPr>
        <w:spacing w:line="560" w:lineRule="exact"/>
        <w:ind w:firstLine="2070" w:firstLineChars="900"/>
        <w:rPr>
          <w:rFonts w:ascii="黑体" w:hAnsi="黑体" w:eastAsia="黑体" w:cs="黑体"/>
          <w:color w:val="auto"/>
          <w:sz w:val="23"/>
          <w:szCs w:val="23"/>
        </w:rPr>
      </w:pPr>
    </w:p>
    <w:p>
      <w:pPr>
        <w:spacing w:line="560" w:lineRule="exact"/>
        <w:ind w:firstLine="2070" w:firstLineChars="900"/>
        <w:rPr>
          <w:rFonts w:ascii="黑体" w:hAnsi="黑体" w:eastAsia="黑体" w:cs="黑体"/>
          <w:color w:val="auto"/>
          <w:sz w:val="23"/>
          <w:szCs w:val="23"/>
        </w:rPr>
      </w:pPr>
    </w:p>
    <w:p>
      <w:pPr>
        <w:spacing w:line="560" w:lineRule="exact"/>
        <w:ind w:firstLine="2070" w:firstLineChars="900"/>
        <w:rPr>
          <w:rFonts w:ascii="黑体" w:hAnsi="黑体" w:eastAsia="黑体" w:cs="黑体"/>
          <w:color w:val="auto"/>
          <w:sz w:val="23"/>
          <w:szCs w:val="23"/>
        </w:rPr>
      </w:pPr>
    </w:p>
    <w:p>
      <w:pPr>
        <w:spacing w:line="560" w:lineRule="exact"/>
        <w:ind w:firstLine="2070" w:firstLineChars="900"/>
        <w:rPr>
          <w:rFonts w:ascii="黑体" w:hAnsi="黑体" w:eastAsia="黑体" w:cs="黑体"/>
          <w:color w:val="auto"/>
          <w:sz w:val="23"/>
          <w:szCs w:val="23"/>
        </w:rPr>
      </w:pPr>
    </w:p>
    <w:p>
      <w:pPr>
        <w:spacing w:line="560" w:lineRule="exact"/>
        <w:ind w:firstLine="2070" w:firstLineChars="900"/>
        <w:rPr>
          <w:rFonts w:ascii="黑体" w:hAnsi="黑体" w:eastAsia="黑体" w:cs="黑体"/>
          <w:color w:val="auto"/>
          <w:sz w:val="23"/>
          <w:szCs w:val="23"/>
        </w:rPr>
      </w:pPr>
    </w:p>
    <w:p>
      <w:pPr>
        <w:spacing w:line="560" w:lineRule="exact"/>
        <w:jc w:val="center"/>
        <w:rPr>
          <w:rFonts w:ascii="黑体" w:hAnsi="黑体" w:eastAsia="黑体" w:cs="黑体"/>
          <w:b/>
          <w:bCs/>
          <w:color w:val="auto"/>
          <w:sz w:val="32"/>
          <w:szCs w:val="44"/>
        </w:rPr>
      </w:pPr>
      <w:r>
        <w:rPr>
          <w:rFonts w:hint="eastAsia" w:ascii="黑体" w:hAnsi="黑体" w:eastAsia="黑体" w:cs="黑体"/>
          <w:b/>
          <w:bCs/>
          <w:color w:val="auto"/>
          <w:sz w:val="32"/>
          <w:szCs w:val="44"/>
        </w:rPr>
        <w:t>【 】年【 】月【 】日</w:t>
      </w:r>
    </w:p>
    <w:p>
      <w:pPr>
        <w:adjustRightInd w:val="0"/>
        <w:snapToGrid w:val="0"/>
        <w:spacing w:line="560" w:lineRule="exact"/>
        <w:rPr>
          <w:rFonts w:ascii="黑体" w:hAnsi="黑体" w:eastAsia="黑体" w:cs="黑体"/>
          <w:b/>
          <w:color w:val="auto"/>
          <w:sz w:val="32"/>
          <w:szCs w:val="32"/>
        </w:rPr>
      </w:pPr>
      <w:r>
        <w:rPr>
          <w:rFonts w:hint="eastAsia" w:ascii="仿宋" w:hAnsi="仿宋" w:eastAsia="仿宋" w:cs="仿宋"/>
          <w:b/>
          <w:bCs/>
          <w:color w:val="auto"/>
          <w:sz w:val="32"/>
          <w:szCs w:val="44"/>
        </w:rPr>
        <w:br w:type="page"/>
      </w:r>
      <w:r>
        <w:rPr>
          <w:rFonts w:hint="eastAsia" w:ascii="黑体" w:hAnsi="黑体" w:eastAsia="黑体" w:cs="黑体"/>
          <w:b/>
          <w:color w:val="auto"/>
          <w:sz w:val="32"/>
          <w:szCs w:val="32"/>
        </w:rPr>
        <w:t>甲方（发包人）： 杭州萧山国际机场有限公司</w:t>
      </w:r>
    </w:p>
    <w:p>
      <w:pPr>
        <w:adjustRightInd w:val="0"/>
        <w:snapToGrid w:val="0"/>
        <w:spacing w:line="560" w:lineRule="exact"/>
        <w:rPr>
          <w:rFonts w:ascii="黑体" w:hAnsi="黑体" w:eastAsia="黑体" w:cs="黑体"/>
          <w:b/>
          <w:color w:val="auto"/>
          <w:sz w:val="32"/>
          <w:szCs w:val="32"/>
        </w:rPr>
      </w:pPr>
      <w:r>
        <w:rPr>
          <w:rFonts w:hint="eastAsia" w:ascii="黑体" w:hAnsi="黑体" w:eastAsia="黑体" w:cs="黑体"/>
          <w:b/>
          <w:color w:val="auto"/>
          <w:sz w:val="32"/>
          <w:szCs w:val="32"/>
        </w:rPr>
        <w:t>住所地：杭州萧山国际机场内</w:t>
      </w:r>
    </w:p>
    <w:p>
      <w:pPr>
        <w:adjustRightInd w:val="0"/>
        <w:snapToGrid w:val="0"/>
        <w:spacing w:line="560" w:lineRule="exact"/>
        <w:rPr>
          <w:rFonts w:ascii="黑体" w:hAnsi="黑体" w:eastAsia="黑体" w:cs="黑体"/>
          <w:b/>
          <w:color w:val="auto"/>
          <w:sz w:val="32"/>
          <w:szCs w:val="32"/>
        </w:rPr>
      </w:pPr>
      <w:r>
        <w:rPr>
          <w:rFonts w:hint="eastAsia" w:ascii="黑体" w:hAnsi="黑体" w:eastAsia="黑体" w:cs="黑体"/>
          <w:b/>
          <w:color w:val="auto"/>
          <w:sz w:val="32"/>
          <w:szCs w:val="32"/>
        </w:rPr>
        <w:t>乙方（承包人）:</w:t>
      </w:r>
    </w:p>
    <w:p>
      <w:pPr>
        <w:adjustRightInd w:val="0"/>
        <w:snapToGrid w:val="0"/>
        <w:spacing w:line="560" w:lineRule="exact"/>
        <w:rPr>
          <w:rFonts w:ascii="黑体" w:hAnsi="黑体" w:eastAsia="黑体" w:cs="黑体"/>
          <w:color w:val="auto"/>
          <w:sz w:val="32"/>
          <w:szCs w:val="32"/>
        </w:rPr>
      </w:pPr>
      <w:r>
        <w:rPr>
          <w:rFonts w:hint="eastAsia" w:ascii="黑体" w:hAnsi="黑体" w:eastAsia="黑体" w:cs="黑体"/>
          <w:b/>
          <w:color w:val="auto"/>
          <w:sz w:val="32"/>
          <w:szCs w:val="32"/>
        </w:rPr>
        <w:t>住所地:</w:t>
      </w:r>
    </w:p>
    <w:p>
      <w:pPr>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甲、乙双方根据《中华人民共和国民法典》、《中华人民共和国建筑法》等相关法律法规，就【杭州萧山国际机场T4航站楼国际中转厅电源敷设项目】施工事宜，在自愿、平等、互利的原则基础上，经协商一致，特签订本合同，以共同遵守。</w:t>
      </w:r>
    </w:p>
    <w:p>
      <w:pPr>
        <w:spacing w:line="560" w:lineRule="exact"/>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一、工程概况</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1.1工程名称：【杭州萧山国际机场T4航站楼国际中转厅电源敷设项目】</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1.2工程地点：【杭州萧山国际机场内】</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1.3工程内容：【对T4中转厅进行强电改造以满足各单位用电需求】</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1.4承包范围和方式：【工程量清单范围内的所有内容，承包方式：包工包料】</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1.5工期：本工程暂定自【 】年【 】月【 】日开工，绝对工期总共为【</w:t>
      </w:r>
      <w:r>
        <w:rPr>
          <w:rFonts w:hint="eastAsia" w:ascii="仿宋_GB2312" w:hAnsi="仿宋_GB2312" w:eastAsia="仿宋_GB2312" w:cs="仿宋_GB2312"/>
          <w:color w:val="auto"/>
          <w:sz w:val="28"/>
          <w:szCs w:val="28"/>
          <w:lang w:val="en-US" w:eastAsia="zh-CN"/>
        </w:rPr>
        <w:t>10</w:t>
      </w:r>
      <w:r>
        <w:rPr>
          <w:rFonts w:hint="eastAsia" w:ascii="仿宋_GB2312" w:hAnsi="仿宋_GB2312" w:eastAsia="仿宋_GB2312" w:cs="仿宋_GB2312"/>
          <w:color w:val="auto"/>
          <w:sz w:val="28"/>
          <w:szCs w:val="28"/>
        </w:rPr>
        <w:t>】日历天，开工日期具体时间以甲方开工令等书面通知为准。前述合同工期已充分考虑停电、停水、设计变更、工程量增减等不确定因素可能对施工进度造成的影响，除经甲方签证同意，否则合同约定的工期不得变更。因甲方原因造成工期延误，则相应工期顺延但费用不予补偿。</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1.6工程质量标准：【符合现行国家有关工程施工验收规范和标准的合格要求】</w:t>
      </w:r>
    </w:p>
    <w:p>
      <w:pPr>
        <w:spacing w:line="560" w:lineRule="exact"/>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二、合同价格及支付</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2.1 本合同签约合同价为人民币（大写）【 】(¥【 】元)，税率为【 】%，不含税总金额为人民币【 】</w:t>
      </w:r>
      <w:r>
        <w:rPr>
          <w:rFonts w:hint="eastAsia" w:ascii="仿宋_GB2312" w:hAnsi="仿宋_GB2312" w:eastAsia="仿宋_GB2312" w:cs="仿宋_GB2312"/>
          <w:color w:val="auto"/>
          <w:sz w:val="28"/>
          <w:szCs w:val="28"/>
          <w:lang w:val="en-US" w:eastAsia="zh-CN"/>
        </w:rPr>
        <w:t>元</w:t>
      </w:r>
      <w:r>
        <w:rPr>
          <w:rFonts w:hint="eastAsia" w:ascii="仿宋_GB2312" w:hAnsi="仿宋_GB2312" w:eastAsia="仿宋_GB2312" w:cs="仿宋_GB2312"/>
          <w:color w:val="auto"/>
          <w:sz w:val="28"/>
          <w:szCs w:val="28"/>
        </w:rPr>
        <w:t>，税额为人民币【 】</w:t>
      </w:r>
      <w:r>
        <w:rPr>
          <w:rFonts w:hint="eastAsia" w:ascii="仿宋_GB2312" w:hAnsi="仿宋_GB2312" w:eastAsia="仿宋_GB2312" w:cs="仿宋_GB2312"/>
          <w:color w:val="auto"/>
          <w:sz w:val="28"/>
          <w:szCs w:val="28"/>
          <w:lang w:val="en-US" w:eastAsia="zh-CN"/>
        </w:rPr>
        <w:t>元</w:t>
      </w:r>
      <w:r>
        <w:rPr>
          <w:rFonts w:hint="eastAsia" w:ascii="仿宋_GB2312" w:hAnsi="仿宋_GB2312" w:eastAsia="仿宋_GB2312" w:cs="仿宋_GB2312"/>
          <w:color w:val="auto"/>
          <w:sz w:val="28"/>
          <w:szCs w:val="28"/>
        </w:rPr>
        <w:t>。</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2.2 本合同采用固定单价合同价格形式。</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2.3 上述签约合同总价系根据双方确定的本工程工程量清单以及综合单价计算后确定的暂定合同价格，具体单价见附件1已标价工程量清单。</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在本合同约定工程内容范围内综合单价不作调整，合同结算总价应根据实际工程量完成情况经第三方审计后确定。本合同综合单价是完成一个规定清单项目所需的人工费、材料和工程设备费、施工机具使用费和企业管理费、利润，以及一定范围内的风险的费用（因市场价格波动、法律和政策调整、临时停电、停水以及停工、窝工等因素引发的全部风险费用、安全施工措施费、必要的加班赶工工作费用以及乙方认为完成本工程所必须发生的其他费用）。若因国家税收政策调整而引起的增值税税率变化的，应按照国家税收政策调整，合同单价变更为原合同不含增值税总金额与调整后税率计算税额的合计金额。</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2.4 乙方应在工程竣工验收后【30】日内向甲方提出工程结算申请并将有关竣工结算资料提交甲方。甲方将委托工程造价咨询人进行工程审计。在完成工程审计并办理工程结算且本工程所涉档案资料由乙方全部移交甲方授权代表签字认可后，甲方向乙方支付至工程结算总价的【98.5】%。</w:t>
      </w:r>
      <w:r>
        <w:rPr>
          <w:rFonts w:hint="eastAsia" w:ascii="仿宋_GB2312" w:hAnsi="仿宋_GB2312" w:eastAsia="仿宋_GB2312" w:cs="仿宋_GB2312"/>
          <w:b/>
          <w:bCs/>
          <w:color w:val="auto"/>
          <w:sz w:val="28"/>
          <w:szCs w:val="28"/>
        </w:rPr>
        <w:t>★施工安全监管费为暂列金额，结算时承包人需提供相应票据作为依据按实结算，税金另计。</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2.5 工程结算总价的【1.5】%留作质量保证金，待缺陷责任期满，经甲方确认乙方不存在任何违约行为且质量保修不存在问题后15天内一并无息支付。缺陷责任期为自工程竣工验收合格之日起算24个月</w:t>
      </w:r>
      <w:r>
        <w:rPr>
          <w:rFonts w:hint="eastAsia" w:ascii="仿宋_GB2312" w:hAnsi="仿宋_GB2312" w:eastAsia="仿宋_GB2312" w:cs="仿宋_GB2312"/>
          <w:bCs/>
          <w:color w:val="auto"/>
          <w:sz w:val="28"/>
          <w:szCs w:val="28"/>
        </w:rPr>
        <w:t>，</w:t>
      </w:r>
      <w:r>
        <w:rPr>
          <w:rFonts w:hint="eastAsia" w:ascii="仿宋_GB2312" w:hAnsi="仿宋_GB2312" w:eastAsia="仿宋_GB2312" w:cs="仿宋_GB2312"/>
          <w:color w:val="auto"/>
          <w:sz w:val="28"/>
          <w:szCs w:val="28"/>
        </w:rPr>
        <w:t>非乙方施工质量原因导致的破损，则不在保修范围内，该种情况由甲方负责判定，但除上述原因外若甲方发现乙方未完全履行质量保修责任，则甲方有权按《工程质量保修书》的约定扣除部分或全部质量保证金，且甲方不承担逾期支付的违约责任。</w:t>
      </w:r>
    </w:p>
    <w:p>
      <w:pPr>
        <w:spacing w:line="560" w:lineRule="exact"/>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三、工程变更</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3.1 本工程的所有变更事项应以“工程变更联系单”的书面形式由双方进行确认。乙方应按照双方确认的“工程变更联系单”所列明的内容和要求进行施工，若乙方擅自进行变更的，甲方一律不予认可，工程变更费用不予结算，甲方有权责令乙方按原设计要求限期整改，由此造成甲方经济损失、工期延误或影响工程质量的，将按照施工合同的有关约定，追究乙方的违约责任。</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3.2 由于乙方自身原因，未按规定的时间和要求上报工程变更费用增减的书面报告和资料，或者对工程变更费用争议部分久拖不决，从而影响工程结算的，甲方将向乙方发出书面函告。发出函告5个自然日后，乙方仍拒不执行的，视作乙方自动放弃权利的主张，甲方将不予结算工程变更费用或争议部分的费用。</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3.3 变更估价原则：</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3.3.1 本合同及已标价的工程量清单或预算书中已有适用工程项目单价的，按已有的单价确定；</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3.3.2 本合同及已标价的工程量清单或预算书中没有适用但有类似工程项目单价的，在合理范围内参照类似项目的单价计算确定。参照方法按下列方式处理：</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①某种材料（包括半成品或成品）等级、标准发生变化的，清单组合子目不变，仅调整不同材料的价格之差。</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②清单项目某一特征或工程内容变化，不影响其他特征及工程内容价格的，其他特征组合标准不变，仅调整发生变化的组合子目价格。</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3.3.3 本合同及已标价的工程量清单或预算书中没有适用或类似工程项目单价的，由乙方按照工程造价管理机构现行的计价依据和信息价并按分部分项工程费+规费+税金，提出适当的单价，经甲方审定后执行。</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3.3.4 无响应价的材料价按施工当期《杭州造价信息》（正刊）萧山区、《杭州造价信息》（正刊）市区、《浙江造价信息》的顺序执行。重新组价的单价若遇有工程造价管理机构发布的信息价缺项的，可由乙方根据变更工程资料、市场调查等取得合法依据的市场价格，提出合理的变更项目单价，并经甲方确认后调整。</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3.4 本工程结算由甲方委托工程造价咨询人按规定进行审核，并按最终审定的工程价款进行结算。核减追加费按核减额（包括造价审计中联系单核减额）超过送审造价5%的幅度以外的核减额的5%计算，费用由乙方支付或由甲方从应付工程价款中扣缴；核增部分以核增额为基数，费率为5%，由乙方直接支付审查费用。</w:t>
      </w:r>
    </w:p>
    <w:p>
      <w:pPr>
        <w:spacing w:line="560" w:lineRule="exact"/>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四、甲方的权利和义务</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4.1 甲方负责向乙方提供经确认的施工图纸或做法说明，并向乙方进行现场交底，尽最大努力清除影响施工现场的障碍物，向乙方提供施工所需的水、电、气及电讯等设备，并说明使用注意事项，办理施工所涉及的各种申请、批件等手续。</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4.2 指派【 】，职务：【】作为甲方项目负责人，负责合同履行；对工程质量、进度进行监督检查，办理验收、变更、登记手续和其他事宜。</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4.3 在施工开始前负责保护好周围建筑物及装修、设备管线、古树名木、绿地等不受损坏。如确实需要拆改原建筑物结构或设备管线，负责到有关部门办理相应审批手续。</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4.4 甲方有权对乙方的安全施工状况进行检查，发现有达不到安全要求或措施不得力的，应当责令乙方整改整顿，整改仍达不到要求的，甲方有权终止本合同。</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4.5 甲方有权对乙方的施工进度进行监督、检查，协调有关部门做好现场保卫、消防、垃圾处理等工作。</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4.6 甲方应按合同约定向乙方支付工程款项。</w:t>
      </w:r>
    </w:p>
    <w:p>
      <w:pPr>
        <w:spacing w:line="560" w:lineRule="exact"/>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五、乙方的权利和义务</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 乙方向甲方承诺按照合同约定进行施工、竣工并在质量保修期内承担工程质量保修责任。</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5.2 乙方应参加甲方组织的施工图纸或作法说明的现场交底，拟定施工方案和进度计划，交甲方审定。</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5.3 指派【 】（身份证号【 】，联系电话【 】）为乙方项目经理，负责合同履行。按要求组织施工，保质、保量、按期完成施工任务，解决由乙方负责的各项事宜。乙方应向甲方提供与项目经理签署的劳动合同以及为项目经理缴纳社会保险的证明。</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5.4 乙方负责严格执行施工规范、安全操作规程、防火安全规定、环境保护规定。严格按照图纸或作法说明进行施工，做好各项质量检查记录。乙方人员或设施在施工或非施工期间发生的人身伤亡或设施损毁事故，由乙方承担责任。如对甲方造成损失的，甲方有权要求乙方承担由此给甲方造成的实际损失。</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5.5 乙方应参加竣工验收，并编制工程结算文件、整理项目档案移交甲方。</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5.6 乙方应遵守国家或地方政府及有关部门对施工现场管理的规定，从进场施工之日起，妥善保护好施工现场周围建筑物、设备管线、古树名木不受损坏，并承担相应费用。做好施工现场保卫和垃圾处理等工作，处理好由于施工带来的影响与周围单位的关系，并承担相应费用。</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5.7 施工中未经甲方同意或有关部门批准，不得随意拆改或损坏原建筑物结构及各种设备管线。</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5.8 工程竣工未移交甲方之前，负责对现场的一切设施和工程成品进行保护，并承担风险和费用。</w:t>
      </w:r>
    </w:p>
    <w:p>
      <w:pPr>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5.9 本工程施工用水、用电：由甲方提供水电接口，场内接管、安装水、电表由乙方自行解决。乙方施工前需向机场水电管理部门提出申请，由甲方按以下标准向乙方收取费用：</w:t>
      </w:r>
    </w:p>
    <w:p>
      <w:pPr>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甲方按杭州萧山供水有限公司目前的供水含税单价4.40元/吨为基础水价，向乙方开具 9% 增值税发票收取基本水费，并在基础单价上加收2.91元/吨的供水设施服务费（9%的增值税发票）。在合同有效期内，如遇杭州萧山供水有限公司调整供水单价，基础水价也作相应的调整，收费金额保留小数点后两位四舍五入。</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甲方按每月购入电价作为基础电价，向乙方开具 13% 增值税发票收取基本电费，并在基础单价上加收10%的转供电损耗费（13%增值税发票）。在合同有效期内，如遇甲方每月购入电价调整，基础电价也作相应的调整，收费金额保留小数点后两位四舍五入。</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5.10 未经甲方书面同意，乙方不得将其承包工程全部或部分转包给他人或者肢解以后以分包的名义分别转包给他人。</w:t>
      </w:r>
    </w:p>
    <w:p>
      <w:pPr>
        <w:spacing w:line="560" w:lineRule="exact"/>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六、工期</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6.1 乙方非因甲方原因不能按期开工、竣工或中途无故停工、窝工影响工期的，工期不顺延，且乙方须向甲方承担工期延误的违约责任。</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6.2 因涉及甲方要求的设计或工程量变更，或非乙方原因造成停电、停水、停气并导致停工【24】小时以上（一周内累计计算），或受不可抗力事件（指战争、动乱、或其它非甲乙双方造成的爆炸、火灾，以及风、雨、雪、震等对工程造成损害的自然灾害或疫情）影响，工期按照甲方签证确认的日期相应顺延。</w:t>
      </w:r>
    </w:p>
    <w:p>
      <w:pPr>
        <w:spacing w:line="560" w:lineRule="exact"/>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七、工程质量及验收</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7.1 乙方应按甲方要求，执行国家相关的最新技术标准，严格按照施工规范验收标准等组织施工，质量达到一次性合格要求。</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7.2 主要施工材料进场应经甲方检查，验收合格的，方能用于施工。由于乙方提供的材料、设备质量不合格而影响工程质量，其返工费用由乙方承担，工期不顺延。</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7.3 隐蔽工程开始前应通知甲方到场查看，经甲方签证确认后方能继续施工。</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7.4 工程竣工后，乙方应通知甲方验收，甲方自接到验收通知【10】日内组织验收，并办理验收、档案移交以及工程结算手续。工程验收过程中发现的瑕疵，乙方应立即负责免费整改到位，整改不另增加工期和费用，因整改导致逾期完工的，乙方应承担违约责任。</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7.5 由于乙方原因造成质量事故，其返工费用由乙方承担，工期不顺延。</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7.6 工程验收合格不能免除乙方的质量保修责任，如甲方发现属于乙方施工质量问题的事项，乙方仍应免费维修，否则应承担赔偿责任。</w:t>
      </w:r>
    </w:p>
    <w:p>
      <w:pPr>
        <w:spacing w:line="560" w:lineRule="exact"/>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八、材料供应</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8.1 本工程由乙方负责采购供应的材料、设备，应为符合要求的合格产品，并应按时供应到现场。乙方供应的材料，经甲方验收后，由乙方负责保管，甲方无需另行支付保管费。由于乙方保管不当造成损失，由乙方负责赔偿。</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8.2 凡由乙方采购的材料、设备，如不符合质量要求或规格有差异，应禁止使用。若已使用，对工程造成的损失由乙方负责。</w:t>
      </w:r>
    </w:p>
    <w:p>
      <w:pPr>
        <w:spacing w:line="560" w:lineRule="exact"/>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九、安全文明施工</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9.1 甲方提供的施工图纸或作法说明，应符合《中华人民共和国消防法》和有关防火设计规范。</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9.2 乙方在施工期间应严格遵守《中华人民共和国建筑法》、《中华人民共和国安全生产法》、《中华人民共和国消防法》、《建设工程质量管理条例》、《建设工程安全生产管理条例》和其他相关的法律、法规、规范以及附件《安全文明施工协议书》。</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9.3 由于乙方在施工过程中违反有关安全操作规程、消防条例，导致发生安全或火灾事故，乙方应承担由此引发的一切经济损失及相关法律责任。</w:t>
      </w:r>
    </w:p>
    <w:p>
      <w:pPr>
        <w:spacing w:line="560" w:lineRule="exact"/>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十、违约责任</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10.1 乙方逾期开工、竣工或延误工期的，每逾期一天，乙方支付甲方签约合同价的【1】‰作为违约金；如延误工期达到【5】日的，甲方有权解除本合同，并要求乙方按前述标准支付违约金；本条规定的违约金不足以弥补甲方损失的，乙方应当另行向甲方承担赔偿责任。</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10.2 乙方逾期向甲方提交竣工结算资料的，每逾期一天，应向甲方支付签约合同价的【1】‰作为违约金。</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10.3 因工程质量达不到本合同约定的质量标准导致合同目的无法实现的，甲方有权解除本合同，并要求乙方支付签约合同价的【10】%作为违约金。</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10.4 乙方应妥善保护甲方提供的设备及现场堆放的家具、陈设和工程成品，如造成损失，应照价赔偿。</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10.5 未经甲方同意，乙方擅自拆改原建筑物结构或设备管线，由此发生的损失或事故（包括行政处罚），由乙方负责并承担损失。</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10.6 乙方在自身经营活动中产生的各种纠纷影响到本工程施工进度的，甲方有权视损害或影响情况处理决定是否继续履行合同，如发生农民工欠薪等特别事件，甲方有权按建设行政管理部门的要求办理。</w:t>
      </w:r>
    </w:p>
    <w:p>
      <w:pPr>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10.7 除本合同另有约定外，乙方违反其在本合同项下其他义务并给甲方造成损失的，须向甲方承担全部赔偿责任。本合同约定的因乙方违约而应向甲方赔偿的损失包括但不限于甲方为本合同项下事宜进行交易以及因合同解除而重新进行交易的费用、重新交易的成交价格与本合同价格的差价损失、因工程延误而导致的损失以及甲方为主张和实现债权而发生的律师费、诉讼费、公证费等一切成本和支出。</w:t>
      </w:r>
    </w:p>
    <w:p>
      <w:pPr>
        <w:spacing w:line="560" w:lineRule="exact"/>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十一、争议解决</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11.1本合同在履行期间，双方发生争议时，在不影响工作进度的前提下，双方可采取协商解决或请有关部门进行调解。</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11.2当事人不愿通过协商、调解解决或者协商、调解不成时，本合同在执行中发生的争议双方同意由工程所在地人民法院诉讼管辖。</w:t>
      </w:r>
    </w:p>
    <w:p>
      <w:pPr>
        <w:spacing w:line="560" w:lineRule="exact"/>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十二、不可抗力</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12.1 在合同有效期内，任何一方因不可抗力事件导致不能履行合同，应在不可抗力事件发生后立即通知另一方，并于事件发生之日起【15】日内向对方寄送有关官方权威机构出具的证明，双方应根据不可抗力的影响程度协商确定变更或解除本合同。</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12.2 不可抗力因素造成乙方的直接损失费用，甲方将根据实际情况另行协商，但属于应该预见、预防、乙方没有及时预防或预防不力造成的损失，甲方不负责补偿。</w:t>
      </w:r>
    </w:p>
    <w:p>
      <w:pPr>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十三、通知</w:t>
      </w:r>
    </w:p>
    <w:p>
      <w:pPr>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bidi="ar"/>
        </w:rPr>
        <w:t>13.1本合同项下的所有通知、请求、主张、要求及其他通信均须采用书面形式以中文语言发出，在按以下地址电子邮件或快递（如DHL快递、EMS和顺丰速运）方式发送给有关各方后视为有效发出或做出：</w:t>
      </w:r>
    </w:p>
    <w:p>
      <w:pPr>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bidi="ar"/>
        </w:rPr>
        <w:t>发送至甲方：</w:t>
      </w:r>
    </w:p>
    <w:p>
      <w:pPr>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bidi="ar"/>
        </w:rPr>
        <w:t>电子邮件：【 】</w:t>
      </w:r>
    </w:p>
    <w:p>
      <w:pPr>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bidi="ar"/>
        </w:rPr>
        <w:t>地址：【 】</w:t>
      </w:r>
    </w:p>
    <w:p>
      <w:pPr>
        <w:adjustRightInd w:val="0"/>
        <w:snapToGrid w:val="0"/>
        <w:spacing w:line="560" w:lineRule="exact"/>
        <w:ind w:firstLine="560" w:firstLineChars="200"/>
        <w:rPr>
          <w:rFonts w:ascii="仿宋_GB2312" w:hAnsi="仿宋_GB2312" w:eastAsia="仿宋_GB2312" w:cs="仿宋_GB2312"/>
          <w:color w:val="auto"/>
          <w:sz w:val="28"/>
          <w:szCs w:val="28"/>
          <w:lang w:bidi="ar"/>
        </w:rPr>
      </w:pPr>
      <w:r>
        <w:rPr>
          <w:rFonts w:hint="eastAsia" w:ascii="仿宋_GB2312" w:hAnsi="仿宋_GB2312" w:eastAsia="仿宋_GB2312" w:cs="仿宋_GB2312"/>
          <w:color w:val="auto"/>
          <w:sz w:val="28"/>
          <w:szCs w:val="28"/>
          <w:lang w:bidi="ar"/>
        </w:rPr>
        <w:t>收件人：【 】</w:t>
      </w:r>
    </w:p>
    <w:p>
      <w:pPr>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bidi="ar"/>
        </w:rPr>
        <w:t>联系电话：【 】</w:t>
      </w:r>
    </w:p>
    <w:p>
      <w:pPr>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bidi="ar"/>
        </w:rPr>
        <w:t>发送至乙方：</w:t>
      </w:r>
    </w:p>
    <w:p>
      <w:pPr>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bidi="ar"/>
        </w:rPr>
        <w:t>电子邮件：【 】</w:t>
      </w:r>
    </w:p>
    <w:p>
      <w:pPr>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bidi="ar"/>
        </w:rPr>
        <w:t>地址：【 】</w:t>
      </w:r>
    </w:p>
    <w:p>
      <w:pPr>
        <w:adjustRightInd w:val="0"/>
        <w:snapToGrid w:val="0"/>
        <w:spacing w:line="560" w:lineRule="exact"/>
        <w:ind w:firstLine="560" w:firstLineChars="200"/>
        <w:rPr>
          <w:rFonts w:ascii="仿宋_GB2312" w:hAnsi="仿宋_GB2312" w:eastAsia="仿宋_GB2312" w:cs="仿宋_GB2312"/>
          <w:color w:val="auto"/>
          <w:sz w:val="28"/>
          <w:szCs w:val="28"/>
          <w:lang w:bidi="ar"/>
        </w:rPr>
      </w:pPr>
      <w:r>
        <w:rPr>
          <w:rFonts w:hint="eastAsia" w:ascii="仿宋_GB2312" w:hAnsi="仿宋_GB2312" w:eastAsia="仿宋_GB2312" w:cs="仿宋_GB2312"/>
          <w:color w:val="auto"/>
          <w:sz w:val="28"/>
          <w:szCs w:val="28"/>
          <w:lang w:bidi="ar"/>
        </w:rPr>
        <w:t>收件人：【 】</w:t>
      </w:r>
    </w:p>
    <w:p>
      <w:pPr>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bidi="ar"/>
        </w:rPr>
        <w:t>联系电话：【 】</w:t>
      </w:r>
    </w:p>
    <w:p>
      <w:pPr>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bidi="ar"/>
        </w:rPr>
        <w:t>13.2 如任一方变更联系方式，应按照以上方式向另一方发出书面通知，否则上述地址仍为有效送达地址。</w:t>
      </w:r>
    </w:p>
    <w:p>
      <w:pPr>
        <w:adjustRightInd w:val="0"/>
        <w:snapToGrid w:val="0"/>
        <w:spacing w:line="560" w:lineRule="exact"/>
        <w:ind w:firstLine="560" w:firstLineChars="200"/>
        <w:rPr>
          <w:rFonts w:ascii="仿宋_GB2312" w:hAnsi="仿宋_GB2312" w:eastAsia="仿宋_GB2312" w:cs="仿宋_GB2312"/>
          <w:b/>
          <w:color w:val="auto"/>
          <w:sz w:val="28"/>
          <w:szCs w:val="28"/>
        </w:rPr>
      </w:pPr>
      <w:r>
        <w:rPr>
          <w:rFonts w:hint="eastAsia" w:ascii="仿宋_GB2312" w:hAnsi="仿宋_GB2312" w:eastAsia="仿宋_GB2312" w:cs="仿宋_GB2312"/>
          <w:color w:val="auto"/>
          <w:sz w:val="28"/>
          <w:szCs w:val="28"/>
          <w:lang w:bidi="ar"/>
        </w:rPr>
        <w:t>13.3 按照本条款发出的通知，在以下时间视为已被收件方收到：(i) 以电子邮件发出的通知，在发送之日的下一个工作日被视为已收到；或 (ii) 以快递发出的通知，在发送之日后的第三个工作日被视为已收到。</w:t>
      </w:r>
    </w:p>
    <w:p>
      <w:pPr>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bidi="ar"/>
        </w:rPr>
        <w:t>13.4 上述地址适用于本合同项下相关司法文书的送达。</w:t>
      </w:r>
    </w:p>
    <w:p>
      <w:pPr>
        <w:spacing w:line="560" w:lineRule="exact"/>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十四、合同组成</w:t>
      </w:r>
    </w:p>
    <w:p>
      <w:pPr>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14.1 本合同文件包括：（1）本合同及附件；（2）中标通知书；（3）询标纪要；（4）招标文件；（5）投标文件。如上述文件内容不一致的，按上述顺序进行解释。</w:t>
      </w:r>
    </w:p>
    <w:p>
      <w:pPr>
        <w:spacing w:line="560" w:lineRule="exact"/>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十五、合同生效及其他</w:t>
      </w:r>
    </w:p>
    <w:p>
      <w:pPr>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15.1 合同经双方法定代表人或授权代表签字（包含签章）并加盖单位公章或者合同章之日起生效。</w:t>
      </w:r>
    </w:p>
    <w:p>
      <w:pPr>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15.2 本合同未尽事宜，双方可签订补充协议予以确定。补充协议与本合同具有同等法律效力。</w:t>
      </w:r>
    </w:p>
    <w:p>
      <w:pPr>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15.3 本合同所订一切条款，未经双方书面确认，任何一方不得擅自变更或者修改。</w:t>
      </w:r>
    </w:p>
    <w:p>
      <w:pPr>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15.4 本合同一式【伍】份，甲方持【叁】份，乙方持【贰】份，具有同等法律效力。</w:t>
      </w:r>
    </w:p>
    <w:p>
      <w:pPr>
        <w:spacing w:line="560" w:lineRule="exact"/>
        <w:ind w:firstLine="560" w:firstLineChars="200"/>
        <w:rPr>
          <w:rFonts w:ascii="仿宋_GB2312" w:hAnsi="仿宋_GB2312" w:eastAsia="仿宋_GB2312" w:cs="仿宋_GB2312"/>
          <w:b/>
          <w:color w:val="auto"/>
          <w:sz w:val="28"/>
          <w:szCs w:val="28"/>
        </w:rPr>
      </w:pPr>
      <w:r>
        <w:rPr>
          <w:rFonts w:hint="eastAsia" w:ascii="仿宋_GB2312" w:hAnsi="仿宋_GB2312" w:eastAsia="仿宋_GB2312" w:cs="仿宋_GB2312"/>
          <w:color w:val="auto"/>
          <w:sz w:val="28"/>
          <w:szCs w:val="28"/>
        </w:rPr>
        <w:t>15.5本合同包含以下附件，附件与本合同具有同等法律效力。</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附件1：已标价工程量清单</w:t>
      </w:r>
    </w:p>
    <w:p>
      <w:pPr>
        <w:spacing w:line="560" w:lineRule="exact"/>
        <w:ind w:firstLine="560" w:firstLineChars="200"/>
        <w:rPr>
          <w:rFonts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附件2：工程质量保修书</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附件3：安全文明施工协议书 </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附件4：保密承诺书</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附件5：廉政承诺书</w:t>
      </w:r>
    </w:p>
    <w:p>
      <w:pPr>
        <w:tabs>
          <w:tab w:val="right" w:pos="8306"/>
        </w:tabs>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（以下无正文）</w:t>
      </w:r>
    </w:p>
    <w:p>
      <w:pPr>
        <w:pageBreakBefore/>
        <w:tabs>
          <w:tab w:val="right" w:pos="8306"/>
        </w:tabs>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（本页为合同编号为【             】的建设工程施工合同的签署页）</w:t>
      </w:r>
    </w:p>
    <w:p>
      <w:pPr>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w:t>
      </w:r>
    </w:p>
    <w:tbl>
      <w:tblPr>
        <w:tblStyle w:val="12"/>
        <w:tblW w:w="9855" w:type="dxa"/>
        <w:tblInd w:w="0" w:type="dxa"/>
        <w:tblLayout w:type="fixed"/>
        <w:tblCellMar>
          <w:top w:w="0" w:type="dxa"/>
          <w:left w:w="108" w:type="dxa"/>
          <w:bottom w:w="0" w:type="dxa"/>
          <w:right w:w="108" w:type="dxa"/>
        </w:tblCellMar>
      </w:tblPr>
      <w:tblGrid>
        <w:gridCol w:w="4928"/>
        <w:gridCol w:w="4927"/>
      </w:tblGrid>
      <w:tr>
        <w:tblPrEx>
          <w:tblLayout w:type="fixed"/>
          <w:tblCellMar>
            <w:top w:w="0" w:type="dxa"/>
            <w:left w:w="108" w:type="dxa"/>
            <w:bottom w:w="0" w:type="dxa"/>
            <w:right w:w="108" w:type="dxa"/>
          </w:tblCellMar>
        </w:tblPrEx>
        <w:tc>
          <w:tcPr>
            <w:tcW w:w="4928" w:type="dxa"/>
          </w:tcPr>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甲方：杭州萧山国际机场有限公司</w:t>
            </w:r>
          </w:p>
        </w:tc>
        <w:tc>
          <w:tcPr>
            <w:tcW w:w="4927" w:type="dxa"/>
          </w:tcPr>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乙方：</w:t>
            </w:r>
          </w:p>
        </w:tc>
      </w:tr>
      <w:tr>
        <w:tblPrEx>
          <w:tblLayout w:type="fixed"/>
          <w:tblCellMar>
            <w:top w:w="0" w:type="dxa"/>
            <w:left w:w="108" w:type="dxa"/>
            <w:bottom w:w="0" w:type="dxa"/>
            <w:right w:w="108" w:type="dxa"/>
          </w:tblCellMar>
        </w:tblPrEx>
        <w:tc>
          <w:tcPr>
            <w:tcW w:w="4928" w:type="dxa"/>
          </w:tcPr>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地址：杭州萧山国际机场内</w:t>
            </w:r>
          </w:p>
        </w:tc>
        <w:tc>
          <w:tcPr>
            <w:tcW w:w="4927" w:type="dxa"/>
          </w:tcPr>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地址：</w:t>
            </w:r>
          </w:p>
        </w:tc>
      </w:tr>
      <w:tr>
        <w:tblPrEx>
          <w:tblLayout w:type="fixed"/>
          <w:tblCellMar>
            <w:top w:w="0" w:type="dxa"/>
            <w:left w:w="108" w:type="dxa"/>
            <w:bottom w:w="0" w:type="dxa"/>
            <w:right w:w="108" w:type="dxa"/>
          </w:tblCellMar>
        </w:tblPrEx>
        <w:tc>
          <w:tcPr>
            <w:tcW w:w="4928" w:type="dxa"/>
          </w:tcPr>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法定代表人：</w:t>
            </w:r>
          </w:p>
        </w:tc>
        <w:tc>
          <w:tcPr>
            <w:tcW w:w="4927" w:type="dxa"/>
          </w:tcPr>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法定代表人：</w:t>
            </w:r>
          </w:p>
        </w:tc>
      </w:tr>
      <w:tr>
        <w:tblPrEx>
          <w:tblLayout w:type="fixed"/>
          <w:tblCellMar>
            <w:top w:w="0" w:type="dxa"/>
            <w:left w:w="108" w:type="dxa"/>
            <w:bottom w:w="0" w:type="dxa"/>
            <w:right w:w="108" w:type="dxa"/>
          </w:tblCellMar>
        </w:tblPrEx>
        <w:tc>
          <w:tcPr>
            <w:tcW w:w="4928" w:type="dxa"/>
          </w:tcPr>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或  </w:t>
            </w:r>
          </w:p>
        </w:tc>
        <w:tc>
          <w:tcPr>
            <w:tcW w:w="4927" w:type="dxa"/>
          </w:tcPr>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或</w:t>
            </w:r>
          </w:p>
        </w:tc>
      </w:tr>
      <w:tr>
        <w:tblPrEx>
          <w:tblLayout w:type="fixed"/>
          <w:tblCellMar>
            <w:top w:w="0" w:type="dxa"/>
            <w:left w:w="108" w:type="dxa"/>
            <w:bottom w:w="0" w:type="dxa"/>
            <w:right w:w="108" w:type="dxa"/>
          </w:tblCellMar>
        </w:tblPrEx>
        <w:tc>
          <w:tcPr>
            <w:tcW w:w="4928" w:type="dxa"/>
          </w:tcPr>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授权代表：</w:t>
            </w:r>
          </w:p>
        </w:tc>
        <w:tc>
          <w:tcPr>
            <w:tcW w:w="4927" w:type="dxa"/>
          </w:tcPr>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授权代表：</w:t>
            </w:r>
          </w:p>
        </w:tc>
      </w:tr>
      <w:tr>
        <w:tblPrEx>
          <w:tblLayout w:type="fixed"/>
          <w:tblCellMar>
            <w:top w:w="0" w:type="dxa"/>
            <w:left w:w="108" w:type="dxa"/>
            <w:bottom w:w="0" w:type="dxa"/>
            <w:right w:w="108" w:type="dxa"/>
          </w:tblCellMar>
        </w:tblPrEx>
        <w:tc>
          <w:tcPr>
            <w:tcW w:w="4928" w:type="dxa"/>
          </w:tcPr>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签字日期：</w:t>
            </w:r>
          </w:p>
        </w:tc>
        <w:tc>
          <w:tcPr>
            <w:tcW w:w="4927" w:type="dxa"/>
          </w:tcPr>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签字日期：</w:t>
            </w:r>
          </w:p>
        </w:tc>
      </w:tr>
    </w:tbl>
    <w:p>
      <w:pPr>
        <w:adjustRightInd w:val="0"/>
        <w:snapToGrid w:val="0"/>
        <w:spacing w:line="560" w:lineRule="exact"/>
        <w:ind w:firstLine="460" w:firstLineChars="200"/>
        <w:rPr>
          <w:rFonts w:ascii="仿宋" w:hAnsi="仿宋" w:eastAsia="仿宋" w:cs="仿宋"/>
          <w:color w:val="auto"/>
          <w:sz w:val="23"/>
          <w:szCs w:val="23"/>
        </w:rPr>
      </w:pPr>
    </w:p>
    <w:p>
      <w:pPr>
        <w:adjustRightInd w:val="0"/>
        <w:snapToGrid w:val="0"/>
        <w:spacing w:line="560" w:lineRule="exact"/>
        <w:ind w:firstLine="460" w:firstLineChars="200"/>
        <w:rPr>
          <w:rFonts w:ascii="仿宋" w:hAnsi="仿宋" w:eastAsia="仿宋" w:cs="仿宋"/>
          <w:color w:val="auto"/>
          <w:sz w:val="23"/>
          <w:szCs w:val="23"/>
        </w:rPr>
      </w:pPr>
    </w:p>
    <w:p>
      <w:pPr>
        <w:adjustRightInd w:val="0"/>
        <w:snapToGrid w:val="0"/>
        <w:spacing w:line="560" w:lineRule="exact"/>
        <w:ind w:firstLine="460" w:firstLineChars="200"/>
        <w:rPr>
          <w:rFonts w:ascii="仿宋" w:hAnsi="仿宋" w:eastAsia="仿宋" w:cs="仿宋"/>
          <w:color w:val="auto"/>
          <w:sz w:val="23"/>
          <w:szCs w:val="23"/>
        </w:rPr>
      </w:pPr>
    </w:p>
    <w:p>
      <w:pPr>
        <w:adjustRightInd w:val="0"/>
        <w:snapToGrid w:val="0"/>
        <w:spacing w:line="560" w:lineRule="exact"/>
        <w:ind w:firstLine="460" w:firstLineChars="200"/>
        <w:rPr>
          <w:rFonts w:ascii="仿宋" w:hAnsi="仿宋" w:eastAsia="仿宋" w:cs="仿宋"/>
          <w:color w:val="auto"/>
          <w:sz w:val="23"/>
          <w:szCs w:val="23"/>
        </w:rPr>
      </w:pPr>
    </w:p>
    <w:p>
      <w:pPr>
        <w:adjustRightInd w:val="0"/>
        <w:snapToGrid w:val="0"/>
        <w:spacing w:line="560" w:lineRule="exact"/>
        <w:ind w:firstLine="460" w:firstLineChars="200"/>
        <w:rPr>
          <w:rFonts w:ascii="仿宋" w:hAnsi="仿宋" w:eastAsia="仿宋" w:cs="仿宋"/>
          <w:color w:val="auto"/>
          <w:sz w:val="23"/>
          <w:szCs w:val="23"/>
        </w:rPr>
      </w:pPr>
    </w:p>
    <w:p>
      <w:pPr>
        <w:adjustRightInd w:val="0"/>
        <w:snapToGrid w:val="0"/>
        <w:spacing w:line="560" w:lineRule="exact"/>
        <w:ind w:firstLine="460" w:firstLineChars="200"/>
        <w:rPr>
          <w:rFonts w:ascii="仿宋" w:hAnsi="仿宋" w:eastAsia="仿宋" w:cs="仿宋"/>
          <w:color w:val="auto"/>
          <w:sz w:val="23"/>
          <w:szCs w:val="23"/>
        </w:rPr>
      </w:pPr>
    </w:p>
    <w:p>
      <w:pPr>
        <w:adjustRightInd w:val="0"/>
        <w:snapToGrid w:val="0"/>
        <w:spacing w:line="560" w:lineRule="exact"/>
        <w:ind w:firstLine="460" w:firstLineChars="200"/>
        <w:rPr>
          <w:rFonts w:ascii="仿宋" w:hAnsi="仿宋" w:eastAsia="仿宋" w:cs="仿宋"/>
          <w:color w:val="auto"/>
          <w:sz w:val="23"/>
          <w:szCs w:val="23"/>
        </w:rPr>
      </w:pPr>
    </w:p>
    <w:p>
      <w:pPr>
        <w:adjustRightInd w:val="0"/>
        <w:snapToGrid w:val="0"/>
        <w:spacing w:line="560" w:lineRule="exact"/>
        <w:ind w:firstLine="460" w:firstLineChars="200"/>
        <w:rPr>
          <w:rFonts w:ascii="仿宋" w:hAnsi="仿宋" w:eastAsia="仿宋" w:cs="仿宋"/>
          <w:color w:val="auto"/>
          <w:sz w:val="23"/>
          <w:szCs w:val="23"/>
        </w:rPr>
      </w:pPr>
    </w:p>
    <w:p>
      <w:pPr>
        <w:adjustRightInd w:val="0"/>
        <w:snapToGrid w:val="0"/>
        <w:spacing w:line="560" w:lineRule="exact"/>
        <w:ind w:firstLine="460" w:firstLineChars="200"/>
        <w:rPr>
          <w:rFonts w:ascii="仿宋" w:hAnsi="仿宋" w:eastAsia="仿宋" w:cs="仿宋"/>
          <w:color w:val="auto"/>
          <w:sz w:val="23"/>
          <w:szCs w:val="23"/>
        </w:rPr>
      </w:pPr>
    </w:p>
    <w:p>
      <w:pPr>
        <w:spacing w:line="560" w:lineRule="exact"/>
        <w:rPr>
          <w:rFonts w:ascii="仿宋" w:hAnsi="仿宋" w:eastAsia="仿宋" w:cs="仿宋"/>
          <w:color w:val="auto"/>
          <w:sz w:val="23"/>
          <w:szCs w:val="23"/>
        </w:rPr>
      </w:pPr>
      <w:r>
        <w:rPr>
          <w:rFonts w:hint="eastAsia" w:ascii="仿宋" w:hAnsi="仿宋" w:eastAsia="仿宋" w:cs="仿宋"/>
          <w:color w:val="auto"/>
          <w:sz w:val="23"/>
          <w:szCs w:val="23"/>
        </w:rPr>
        <w:br w:type="page"/>
      </w:r>
    </w:p>
    <w:p>
      <w:pPr>
        <w:pStyle w:val="13"/>
        <w:tabs>
          <w:tab w:val="left" w:pos="540"/>
        </w:tabs>
        <w:snapToGrid w:val="0"/>
        <w:spacing w:line="560" w:lineRule="exact"/>
        <w:rPr>
          <w:rFonts w:ascii="黑体" w:hAnsi="黑体" w:eastAsia="黑体" w:cs="黑体"/>
          <w:color w:val="auto"/>
          <w:sz w:val="44"/>
          <w:szCs w:val="44"/>
        </w:rPr>
      </w:pPr>
      <w:r>
        <w:rPr>
          <w:rFonts w:hint="eastAsia" w:ascii="黑体" w:hAnsi="黑体" w:eastAsia="黑体" w:cs="黑体"/>
          <w:color w:val="auto"/>
          <w:sz w:val="32"/>
          <w:szCs w:val="32"/>
        </w:rPr>
        <w:t>附件1：已标价工程量清单</w:t>
      </w:r>
    </w:p>
    <w:p>
      <w:pPr>
        <w:pStyle w:val="13"/>
        <w:tabs>
          <w:tab w:val="left" w:pos="540"/>
        </w:tabs>
        <w:snapToGrid w:val="0"/>
        <w:spacing w:line="560" w:lineRule="exact"/>
        <w:rPr>
          <w:rFonts w:ascii="仿宋" w:hAnsi="仿宋" w:eastAsia="仿宋" w:cs="仿宋"/>
          <w:b/>
          <w:bCs/>
          <w:color w:val="auto"/>
          <w:sz w:val="23"/>
          <w:szCs w:val="23"/>
        </w:rPr>
      </w:pPr>
    </w:p>
    <w:p>
      <w:pPr>
        <w:spacing w:line="560" w:lineRule="exact"/>
        <w:rPr>
          <w:rFonts w:ascii="仿宋" w:hAnsi="仿宋" w:eastAsia="仿宋" w:cs="仿宋"/>
          <w:b/>
          <w:bCs/>
          <w:color w:val="auto"/>
          <w:sz w:val="23"/>
          <w:szCs w:val="23"/>
        </w:rPr>
      </w:pPr>
      <w:r>
        <w:rPr>
          <w:rFonts w:hint="eastAsia" w:ascii="仿宋" w:hAnsi="仿宋" w:eastAsia="仿宋" w:cs="仿宋"/>
          <w:b/>
          <w:bCs/>
          <w:color w:val="auto"/>
          <w:sz w:val="23"/>
          <w:szCs w:val="23"/>
        </w:rPr>
        <w:br w:type="page"/>
      </w:r>
    </w:p>
    <w:p>
      <w:pPr>
        <w:pStyle w:val="13"/>
        <w:tabs>
          <w:tab w:val="left" w:pos="540"/>
        </w:tabs>
        <w:snapToGrid w:val="0"/>
        <w:spacing w:line="560" w:lineRule="exact"/>
        <w:rPr>
          <w:rFonts w:ascii="黑体" w:hAnsi="黑体" w:eastAsia="黑体" w:cs="黑体"/>
          <w:color w:val="auto"/>
          <w:sz w:val="32"/>
          <w:szCs w:val="32"/>
        </w:rPr>
      </w:pPr>
      <w:r>
        <w:rPr>
          <w:rFonts w:hint="eastAsia" w:ascii="黑体" w:hAnsi="黑体" w:eastAsia="黑体" w:cs="黑体"/>
          <w:color w:val="auto"/>
          <w:sz w:val="32"/>
          <w:szCs w:val="32"/>
        </w:rPr>
        <w:t>附件2：</w:t>
      </w:r>
    </w:p>
    <w:p>
      <w:pPr>
        <w:pStyle w:val="13"/>
        <w:snapToGrid w:val="0"/>
        <w:spacing w:line="560" w:lineRule="exact"/>
        <w:jc w:val="center"/>
        <w:rPr>
          <w:rFonts w:ascii="仿宋" w:hAnsi="仿宋" w:eastAsia="仿宋" w:cs="仿宋"/>
          <w:b/>
          <w:bCs/>
          <w:color w:val="auto"/>
          <w:sz w:val="32"/>
          <w:szCs w:val="32"/>
        </w:rPr>
      </w:pPr>
      <w:r>
        <w:rPr>
          <w:rFonts w:hint="eastAsia" w:ascii="仿宋_GB2312" w:hAnsi="仿宋_GB2312" w:eastAsia="仿宋_GB2312" w:cs="仿宋_GB2312"/>
          <w:b/>
          <w:bCs/>
          <w:color w:val="auto"/>
          <w:sz w:val="32"/>
          <w:szCs w:val="32"/>
        </w:rPr>
        <w:t>工程质量保修书</w:t>
      </w:r>
    </w:p>
    <w:p>
      <w:pPr>
        <w:pStyle w:val="13"/>
        <w:tabs>
          <w:tab w:val="left" w:pos="426"/>
        </w:tabs>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甲方（全称）：杭州萧山国际机场有限公司</w:t>
      </w:r>
    </w:p>
    <w:p>
      <w:pPr>
        <w:pStyle w:val="13"/>
        <w:tabs>
          <w:tab w:val="left" w:pos="426"/>
        </w:tabs>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乙方（全称）：   </w:t>
      </w:r>
    </w:p>
    <w:p>
      <w:pPr>
        <w:pStyle w:val="13"/>
        <w:tabs>
          <w:tab w:val="left" w:pos="426"/>
        </w:tabs>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甲方和乙方根据《中华人民共和国建筑法》和《建设工程质量管理条例》，经协商一致就【杭州萧山国际机场T4航站楼国际中转厅电源敷设项目】（工程全称）签订工程质量保修书。</w:t>
      </w:r>
    </w:p>
    <w:p>
      <w:pPr>
        <w:pStyle w:val="13"/>
        <w:tabs>
          <w:tab w:val="left" w:pos="426"/>
        </w:tabs>
        <w:snapToGrid w:val="0"/>
        <w:spacing w:line="560" w:lineRule="exact"/>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一、工程质量保修范围和内容</w:t>
      </w:r>
    </w:p>
    <w:p>
      <w:pPr>
        <w:pStyle w:val="13"/>
        <w:tabs>
          <w:tab w:val="left" w:pos="426"/>
        </w:tabs>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乙方在质量保修期内，按照有关法律规定和合同约定，承担工程质量保修责任。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本工程合同承包范围内乙方负责施工的所有工程项目]</w:t>
      </w:r>
    </w:p>
    <w:p>
      <w:pPr>
        <w:pStyle w:val="13"/>
        <w:tabs>
          <w:tab w:val="left" w:pos="426"/>
        </w:tabs>
        <w:snapToGrid w:val="0"/>
        <w:spacing w:line="560" w:lineRule="exact"/>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二、质量保修期</w:t>
      </w:r>
    </w:p>
    <w:p>
      <w:pPr>
        <w:pStyle w:val="13"/>
        <w:tabs>
          <w:tab w:val="left" w:pos="426"/>
        </w:tabs>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根据《建设工程质量管理条例》及有关规定，工程的质量保修期如下：</w:t>
      </w:r>
    </w:p>
    <w:p>
      <w:pPr>
        <w:pStyle w:val="13"/>
        <w:numPr>
          <w:ilvl w:val="0"/>
          <w:numId w:val="4"/>
        </w:numPr>
        <w:tabs>
          <w:tab w:val="left" w:pos="426"/>
        </w:tabs>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地基基础工程和主体结构工程为设计文件规定的工程合理使用年限；</w:t>
      </w:r>
    </w:p>
    <w:p>
      <w:pPr>
        <w:pStyle w:val="13"/>
        <w:numPr>
          <w:ilvl w:val="0"/>
          <w:numId w:val="4"/>
        </w:numPr>
        <w:tabs>
          <w:tab w:val="left" w:pos="426"/>
        </w:tabs>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屋面防水工程、有防水要求的卫生间、房间和外墙面的防渗为 5 年；</w:t>
      </w:r>
    </w:p>
    <w:p>
      <w:pPr>
        <w:pStyle w:val="13"/>
        <w:numPr>
          <w:ilvl w:val="0"/>
          <w:numId w:val="4"/>
        </w:numPr>
        <w:tabs>
          <w:tab w:val="left" w:pos="426"/>
        </w:tabs>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装修工程为 2 年；</w:t>
      </w:r>
    </w:p>
    <w:p>
      <w:pPr>
        <w:pStyle w:val="13"/>
        <w:numPr>
          <w:ilvl w:val="0"/>
          <w:numId w:val="4"/>
        </w:numPr>
        <w:tabs>
          <w:tab w:val="left" w:pos="426"/>
        </w:tabs>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电气管线、给排水管道、设备安装工程为 2 年；</w:t>
      </w:r>
    </w:p>
    <w:p>
      <w:pPr>
        <w:pStyle w:val="13"/>
        <w:numPr>
          <w:ilvl w:val="0"/>
          <w:numId w:val="4"/>
        </w:numPr>
        <w:tabs>
          <w:tab w:val="left" w:pos="426"/>
        </w:tabs>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供热与供冷系统为 2 个采暖期、供冷期；</w:t>
      </w:r>
    </w:p>
    <w:p>
      <w:pPr>
        <w:pStyle w:val="13"/>
        <w:numPr>
          <w:ilvl w:val="0"/>
          <w:numId w:val="4"/>
        </w:numPr>
        <w:tabs>
          <w:tab w:val="left" w:pos="426"/>
        </w:tabs>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住宅小区内的给排水设施、道路等配套工程为 2 年；</w:t>
      </w:r>
    </w:p>
    <w:p>
      <w:pPr>
        <w:pStyle w:val="13"/>
        <w:numPr>
          <w:ilvl w:val="0"/>
          <w:numId w:val="4"/>
        </w:numPr>
        <w:tabs>
          <w:tab w:val="left" w:pos="426"/>
        </w:tabs>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其他项目保修期限约定如下：【本工程保修期为2年】</w:t>
      </w:r>
    </w:p>
    <w:p>
      <w:pPr>
        <w:pStyle w:val="13"/>
        <w:tabs>
          <w:tab w:val="left" w:pos="426"/>
        </w:tabs>
        <w:snapToGrid w:val="0"/>
        <w:spacing w:line="560" w:lineRule="exact"/>
        <w:ind w:firstLine="44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质量保修期自工程竣工验收合格之日起计算。</w:t>
      </w:r>
    </w:p>
    <w:p>
      <w:pPr>
        <w:pStyle w:val="13"/>
        <w:tabs>
          <w:tab w:val="left" w:pos="426"/>
        </w:tabs>
        <w:snapToGrid w:val="0"/>
        <w:spacing w:line="560" w:lineRule="exact"/>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三、缺陷责任期</w:t>
      </w:r>
    </w:p>
    <w:p>
      <w:pPr>
        <w:pStyle w:val="13"/>
        <w:tabs>
          <w:tab w:val="left" w:pos="426"/>
        </w:tabs>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工程缺陷责任期为24个月，缺陷责任期自工程竣工验收合格之日起计算。单位工程先于全部工程进行验收，单位工程缺陷责任期自单位工程验收合格之日起算。</w:t>
      </w:r>
    </w:p>
    <w:p>
      <w:pPr>
        <w:pStyle w:val="13"/>
        <w:tabs>
          <w:tab w:val="left" w:pos="426"/>
        </w:tabs>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缺陷责任期届满后，经甲方确认核实，乙方不存在违约情形以及质量保修不存在问题后15天内无息支付质量保证金。</w:t>
      </w:r>
    </w:p>
    <w:p>
      <w:pPr>
        <w:pStyle w:val="13"/>
        <w:tabs>
          <w:tab w:val="left" w:pos="426"/>
        </w:tabs>
        <w:snapToGrid w:val="0"/>
        <w:spacing w:line="560" w:lineRule="exact"/>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四、质量保修责任</w:t>
      </w:r>
    </w:p>
    <w:p>
      <w:pPr>
        <w:pStyle w:val="13"/>
        <w:tabs>
          <w:tab w:val="left" w:pos="426"/>
        </w:tabs>
        <w:snapToGrid w:val="0"/>
        <w:spacing w:line="560" w:lineRule="exact"/>
        <w:ind w:firstLine="44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属于保修范围、内容的项目，乙方应当在接到保修通知之日起【3】天内派人至甲方现场进行维修。乙方不在约定期限内派人至甲方现场进行维修的，甲方可以自行委托他人修理。费用从质量保证金中扣除。修复部分的质保期自修复完毕之日起重新开始计算。</w:t>
      </w:r>
    </w:p>
    <w:p>
      <w:pPr>
        <w:pStyle w:val="13"/>
        <w:tabs>
          <w:tab w:val="left" w:pos="426"/>
        </w:tabs>
        <w:snapToGrid w:val="0"/>
        <w:spacing w:line="560" w:lineRule="exact"/>
        <w:ind w:firstLine="44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2．发生紧急事故需抢修的，乙方在接到事故通知后，应当立即到达事故现场进行持续抢修直至修复。</w:t>
      </w:r>
    </w:p>
    <w:p>
      <w:pPr>
        <w:pStyle w:val="13"/>
        <w:tabs>
          <w:tab w:val="left" w:pos="426"/>
        </w:tabs>
        <w:snapToGrid w:val="0"/>
        <w:spacing w:line="560" w:lineRule="exact"/>
        <w:ind w:firstLine="44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对于涉及结构安全的质量问题，应当按照《建设工程质量管理条例》的规定，立即向当地建设行政主管部门和有关部门报告，采取安全防范措施，并由原设计人或者具有相应资质等级的设计人提出保修方案，由乙方实施保修。</w:t>
      </w:r>
    </w:p>
    <w:p>
      <w:pPr>
        <w:pStyle w:val="13"/>
        <w:tabs>
          <w:tab w:val="left" w:pos="426"/>
        </w:tabs>
        <w:snapToGrid w:val="0"/>
        <w:spacing w:line="560" w:lineRule="exact"/>
        <w:ind w:firstLine="44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4．质量保修完成后，由甲方组织验收。验收不合格的，甲方有权自行委托第三方修理，全部费用由乙方承担，由甲方与第三方确认后直接从质量保证金中扣除。</w:t>
      </w:r>
    </w:p>
    <w:p>
      <w:pPr>
        <w:pStyle w:val="13"/>
        <w:tabs>
          <w:tab w:val="left" w:pos="426"/>
        </w:tabs>
        <w:snapToGrid w:val="0"/>
        <w:spacing w:line="560" w:lineRule="exact"/>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五、保修费用</w:t>
      </w:r>
    </w:p>
    <w:p>
      <w:pPr>
        <w:pStyle w:val="13"/>
        <w:tabs>
          <w:tab w:val="left" w:pos="426"/>
        </w:tabs>
        <w:snapToGrid w:val="0"/>
        <w:spacing w:line="560" w:lineRule="exact"/>
        <w:ind w:firstLine="44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保修费用由造成质量缺陷的责任方承担；对责任方的确定产生疑问或争议的，依甲方委托的鉴定机构所出具的独立报告来确定。</w:t>
      </w:r>
    </w:p>
    <w:p>
      <w:pPr>
        <w:pStyle w:val="13"/>
        <w:tabs>
          <w:tab w:val="left" w:pos="426"/>
        </w:tabs>
        <w:snapToGrid w:val="0"/>
        <w:spacing w:line="560" w:lineRule="exact"/>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 xml:space="preserve">六、双方约定的其他工程质量保修事项： </w:t>
      </w:r>
    </w:p>
    <w:p>
      <w:pPr>
        <w:pStyle w:val="13"/>
        <w:tabs>
          <w:tab w:val="left" w:pos="426"/>
        </w:tabs>
        <w:snapToGrid w:val="0"/>
        <w:spacing w:line="560" w:lineRule="exact"/>
        <w:ind w:firstLine="44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1．在乙方人员到达之前，甲方可采取适当的应急措施，费用由乙方承担。</w:t>
      </w:r>
    </w:p>
    <w:p>
      <w:pPr>
        <w:pStyle w:val="13"/>
        <w:tabs>
          <w:tab w:val="left" w:pos="426"/>
        </w:tabs>
        <w:snapToGrid w:val="0"/>
        <w:spacing w:line="560" w:lineRule="exact"/>
        <w:ind w:firstLine="44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遇下列特殊情况的，乙方同意甲方或管理单位可以对一定金额（材料安装类5000元，土建类10000元）以内的维修项目进行应急处理，先行委托其他单位进行维修，所产生的维修费用由乙方承担。乙方应于收到通知后7日内支付甲方出具的通知书中确定的金额。</w:t>
      </w:r>
    </w:p>
    <w:p>
      <w:pPr>
        <w:pStyle w:val="13"/>
        <w:tabs>
          <w:tab w:val="left" w:pos="426"/>
        </w:tabs>
        <w:snapToGrid w:val="0"/>
        <w:spacing w:line="560" w:lineRule="exact"/>
        <w:ind w:firstLine="44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a．紧急抢修事故时，为避免损失进一步扩大；</w:t>
      </w:r>
    </w:p>
    <w:p>
      <w:pPr>
        <w:pStyle w:val="13"/>
        <w:tabs>
          <w:tab w:val="left" w:pos="426"/>
        </w:tabs>
        <w:snapToGrid w:val="0"/>
        <w:spacing w:line="560" w:lineRule="exact"/>
        <w:ind w:firstLine="44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b．直接影响到工程正常运行或危害人身财产及财产安全时；</w:t>
      </w:r>
    </w:p>
    <w:p>
      <w:pPr>
        <w:pStyle w:val="13"/>
        <w:tabs>
          <w:tab w:val="left" w:pos="426"/>
        </w:tabs>
        <w:snapToGrid w:val="0"/>
        <w:spacing w:line="560" w:lineRule="exact"/>
        <w:ind w:firstLine="44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甲方或工程管理单位认为需召开维保工作协调会时，乙方应当准时参加，会议上提出的问题必须当场确定解决方案，乙方对其派出与会人员的签字确认负全部责任，并应当执行会议决定。否则，视作乙方未履行维修义务。</w:t>
      </w:r>
    </w:p>
    <w:p>
      <w:pPr>
        <w:pStyle w:val="13"/>
        <w:tabs>
          <w:tab w:val="left" w:pos="426"/>
        </w:tabs>
        <w:snapToGrid w:val="0"/>
        <w:spacing w:line="560" w:lineRule="exact"/>
        <w:ind w:firstLine="44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4．因工程质量问题发生工程维修费用或对第三人赔偿损失的，甲方通知乙方应承担的费用或损失金额，乙方应于收到通知后7日内支付甲方出具的通知书中确定的金额。</w:t>
      </w:r>
    </w:p>
    <w:p>
      <w:pPr>
        <w:pStyle w:val="13"/>
        <w:tabs>
          <w:tab w:val="left" w:pos="426"/>
        </w:tabs>
        <w:snapToGrid w:val="0"/>
        <w:spacing w:line="560" w:lineRule="exact"/>
        <w:ind w:firstLine="44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乙方负责保修的质量，工程保修项目完成后须经甲方或工程管理单位代表验收签字方视为完成相应保修项目。工程保修项目应保证在六个月内不出现同类问题，否则，即使保修期满也应继续维修。对于更换了重要组件或整个设备的较大维修项目，保修日期应从设备更换或大修之日起重新按国家有关最低标准确定。</w:t>
      </w:r>
    </w:p>
    <w:p>
      <w:pPr>
        <w:pStyle w:val="13"/>
        <w:tabs>
          <w:tab w:val="left" w:pos="426"/>
        </w:tabs>
        <w:snapToGrid w:val="0"/>
        <w:spacing w:line="560" w:lineRule="exact"/>
        <w:ind w:firstLine="44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对同一工程质量问题经乙方维修两次后，再次发生该质量问题的，甲方工程管理部门有权安排自行维修或委托其他单位维修，所产生相关费用包括维修费等均由乙方承担。乙方应于收到通知后7日内支付甲方出具的通知书中确定的金额。</w:t>
      </w:r>
    </w:p>
    <w:p>
      <w:pPr>
        <w:pStyle w:val="13"/>
        <w:tabs>
          <w:tab w:val="left" w:pos="426"/>
        </w:tabs>
        <w:snapToGrid w:val="0"/>
        <w:spacing w:line="560" w:lineRule="exact"/>
        <w:ind w:firstLine="44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6．工程质量保修书由甲方、乙方在工程竣工验收前共同盖章，作为本施工合同附件，其有效期限至质保期届满且甲方书面确认乙方完成全部保修工作止。</w:t>
      </w:r>
    </w:p>
    <w:p>
      <w:pPr>
        <w:pStyle w:val="13"/>
        <w:snapToGrid w:val="0"/>
        <w:spacing w:line="560" w:lineRule="exact"/>
        <w:rPr>
          <w:rFonts w:ascii="仿宋_GB2312" w:hAnsi="仿宋_GB2312" w:eastAsia="仿宋_GB2312" w:cs="仿宋_GB2312"/>
          <w:color w:val="auto"/>
          <w:sz w:val="28"/>
          <w:szCs w:val="28"/>
        </w:rPr>
      </w:pPr>
    </w:p>
    <w:p>
      <w:pPr>
        <w:pStyle w:val="13"/>
        <w:snapToGrid w:val="0"/>
        <w:spacing w:line="560" w:lineRule="exact"/>
        <w:rPr>
          <w:rFonts w:ascii="仿宋_GB2312" w:hAnsi="仿宋_GB2312" w:eastAsia="仿宋_GB2312" w:cs="仿宋_GB2312"/>
          <w:color w:val="auto"/>
          <w:sz w:val="28"/>
          <w:szCs w:val="28"/>
        </w:rPr>
      </w:pPr>
    </w:p>
    <w:p>
      <w:pPr>
        <w:pStyle w:val="13"/>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甲方(公章)：                       乙方(公章)：             </w:t>
      </w:r>
    </w:p>
    <w:p>
      <w:pPr>
        <w:spacing w:line="560" w:lineRule="exact"/>
        <w:jc w:val="left"/>
        <w:rPr>
          <w:rFonts w:ascii="仿宋_GB2312" w:hAnsi="仿宋_GB2312" w:eastAsia="仿宋_GB2312" w:cs="仿宋_GB2312"/>
          <w:color w:val="auto"/>
          <w:sz w:val="28"/>
          <w:szCs w:val="28"/>
        </w:rPr>
      </w:pPr>
    </w:p>
    <w:p>
      <w:pPr>
        <w:spacing w:line="560" w:lineRule="exact"/>
        <w:jc w:val="left"/>
        <w:rPr>
          <w:rFonts w:ascii="仿宋_GB2312" w:hAnsi="仿宋_GB2312" w:eastAsia="仿宋_GB2312" w:cs="仿宋_GB2312"/>
          <w:color w:val="auto"/>
          <w:sz w:val="28"/>
          <w:szCs w:val="28"/>
        </w:rPr>
      </w:pPr>
    </w:p>
    <w:p>
      <w:pPr>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br w:type="page"/>
      </w:r>
    </w:p>
    <w:p>
      <w:pPr>
        <w:spacing w:line="560" w:lineRule="exact"/>
        <w:jc w:val="left"/>
        <w:rPr>
          <w:rFonts w:ascii="黑体" w:hAnsi="黑体" w:eastAsia="黑体" w:cs="黑体"/>
          <w:color w:val="auto"/>
          <w:sz w:val="32"/>
          <w:szCs w:val="32"/>
        </w:rPr>
      </w:pPr>
      <w:r>
        <w:rPr>
          <w:rFonts w:hint="eastAsia" w:ascii="黑体" w:hAnsi="黑体" w:eastAsia="黑体" w:cs="黑体"/>
          <w:color w:val="auto"/>
          <w:sz w:val="32"/>
          <w:szCs w:val="32"/>
        </w:rPr>
        <w:t xml:space="preserve">附件3： </w:t>
      </w:r>
      <w:bookmarkStart w:id="14" w:name="_Hlk534811958"/>
    </w:p>
    <w:p>
      <w:pPr>
        <w:spacing w:line="560" w:lineRule="exact"/>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32"/>
          <w:szCs w:val="32"/>
        </w:rPr>
        <w:t>安全文明施工协议书</w:t>
      </w:r>
      <w:bookmarkEnd w:id="14"/>
    </w:p>
    <w:p>
      <w:pPr>
        <w:pStyle w:val="13"/>
        <w:tabs>
          <w:tab w:val="left" w:pos="426"/>
        </w:tabs>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甲方（全称）：杭州萧山国际机场有限公司</w:t>
      </w:r>
    </w:p>
    <w:p>
      <w:pPr>
        <w:pStyle w:val="13"/>
        <w:tabs>
          <w:tab w:val="left" w:pos="426"/>
        </w:tabs>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乙方（全称）：   </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为了保护公民人身和国家财产安全，保障机场安全、有序运行和工程施工安全，保持良好的施工、生活秩序和饮食、环境卫生，维护双方的合法利益，明确双方责任，确保【杭州萧山国际机场T4航站楼国际中转厅电源敷设项目】工程建设的顺利进行。根据国家现行的有关法律、法规和安全生产规范、规程及标准，经双方协商，签订本《安全文明施工协议书》。 </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一、甲方对乙方实行安全目标管理，安全目标的具体内容是：</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1、无责任死亡事故和群伤事件。</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2、无重大经济责任事故。</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3、无空防安全事故。</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4、无影响机场运行的不安全事件。</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5、无七类重大刑事案件（杀人、绑架、强奸、放火、爆炸、劫持、故意伤害致死）及其它严重、恶性案件。</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6、无因未足额、及时发放工资发生劳资纠纷。</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7、无集体食物中毒事件。</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8、无计划外生育。</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9、无因上述原因引发无序维权事件。</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上述情况的认定按国家和行业的有关规定和标准执行。</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二、甲方的权利和义务</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甲方有权对乙方执行国家和行业法律、法规、规章和技术标准以及履行工程合同和本协议书情况进行监督、检查和考核，有权监督乙方消除不安全隐患，乙方懈怠或拒绝本协议条款组织安全文明施工的，经甲方书面通知未按时限和要求整改的，甲方有权对违反协议行为追究违约责任或责令乙方停工整改直至终止合同。</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11、甲方联系和协调机场公安机关，督促施工单位按有关规定申报暂住登记和申领《居住证》，并协助乙方联系机场公安局商定有关工地安全保卫事宜。</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12、甲方利用施工例会等定期分析和掌握工程的治安情况，通报当前治安形势，交流工作经验，协助处理相关问题。</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13、乙方未按要求配备安全设施、设备、器材，未在限定期限内整改的，甲方有权直接购置并配足，另增加20%的管理费，费用由乙方承担。</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14、依据民航行业和机场相关要求，工地及临舍实施封闭管理，进出工地的人员和车辆实行通行证管理制度，甲方协助乙方及时办理相关人员和车辆的施工通行证件。甲方组织乙方项目部管理人员、班组长参加专门的安全教育培训和考试（主要是机场运行、空防、不停航施工等方面安全知识），乙方应按行业规范对施工人员进行安全教育培训，乙方不履行安全教育培训的，甲方可强制组织有偿培训及其它强制措施。</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15、甲方建立由监理、施工、设计单位为成员的安全管理网络，组织、协调安全管理工作，审核乙方及相关管理人员、特种作业人员的资质，督查乙方开展安全风险识别和评估，视情审查相应的安全技术措施。</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16、甲方对乙方的临时设施（包括临时宿舍）进行统一规划和监管，完成后临时设施场地应按甲方要求恢复原状。</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17、甲方应当向乙方提供施工现场及毗邻区域内供水、排水、供电、供热、通信、广播电视等地下管线资料，气象和水文观测资料，相邻建筑物和构筑物、地下工程的有关资料，并保证资料的真实、准确、完整。乙方因建设工程需要，向甲方查询前款规定的资料时，甲方应当及时提供。</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18、甲方不得对乙方提出不符合建设工程安全生产法律、法规和强制性标准的要求，不得要求乙方购买、租赁、使用不符合安全施工要求的安全防护用具、机械设备、施工机具及配件、消防设施和器材等，不得随意压缩合同约定的工期。</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19、甲方应按合同约定如期支付乙方工程款。</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三、乙方的安全、文明权利和义务</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遵守《中华人民共和国安全生产法》、《中华人民共和国建筑法》、《建设工程安全管理条例》、《浙江省建筑业管理条例》、《建筑施工安全检查标准》、《杭州市建设工地职工宿舍安全使用与管理》、《杭州萧山国际机场建设工程安全文明施工管理规定》和《杭州萧山国际机场建设工程安全文明施工应用手册》以及其他安全文明的法律、法规，遵守机场有关安全管理的规章制度。</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（一）安全文明施工管理</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20、落实施工安全责任，所涉工程依法实行总分包制的，总包单位应对施工安全负总责，以安全责任书的方式确定各分包单位的安全责任，乙方应层层签订安全责任书。</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21、乙方应开展风险管理，结合风险评估结果有针对性地制定和落实施工安全技术措施。</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22、乙方安全管理规章制度、操作规程、安全技术措施和专项施工方案以及项目经理、专职安全员、特种行业作业人员及其资格资质须向甲方备案，并持证上岗。对下列危险性较大的部分分项工程应当制定专项施工方案，按国家法律法规进行专家验证，且须经乙方技术负责人、总监理工程师审核签字后方可实施，并由专职安全生产管理人员进行现场监督： </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22.1 基坑与降水工程； </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22.2 土方开挖工程； </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22.3 模板工程； </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22.4 起重吊装工程； </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22.5 脚手架工程； </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22.6 焊接、切割、爆破、拆除作业工程； </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22.7国务院建设行政主管部门或其它有关部门规定的其它危险性较大的工程。</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23、乙方不得在机场和机场净空保护区范围内施放烟花、爆竹、气球等升空物体；建筑生活垃圾定点集中堆放，及时清运，不得随意焚烧垃圾等物品制造烟雾；不得饲养动物；不得随意丢弃飘浮物。</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24、乙方必须按照甲方的规划要求搭设临时设施，并经甲方验收合格方准使用。但甲方的验收并不免除乙方对其搭设的临时设施的安全承担全部责任。</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25、施工现场实行封闭式管理，沿工地四周连续设置围档，大门应设专职保安实施不间断的监管，并设监控设施。围档材料要求坚固、稳定、统一、整洁、美观，宜采用硬质材料。围挡设置高度不低于2.5米，施工区域与机场控制区间应设置硬质围档，并加装防攀爬设施。</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26、乙方应做好装修施工阶段成品保护工作，按照“谁主管、谁负责；谁使用、谁负责；谁管理、谁负责”的原则，制定成品保护管理办法，层层签订成品保护责任书，真正落实成品保护现场管理的各项措施。</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27、为保障民工合法权益，乙方还应承担以下义务：</w:t>
      </w:r>
    </w:p>
    <w:p>
      <w:pPr>
        <w:pStyle w:val="13"/>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27.1乙方应当在民工上岗作业之前，与下属劳务单位（或施工班组）共同对每位民工进行安全施工、规范用电、消防安全、文明行车、遵纪守法等方面的知识培训，特殊岗位必须进行资格审查，建立相关的管理制度及工作应急预案，对民工的工作、生活进行严格管理，并提供必要的工作保障和生活服务。</w:t>
      </w:r>
    </w:p>
    <w:p>
      <w:pPr>
        <w:pStyle w:val="13"/>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27.2乙方应当监管下属劳务单位在招录民工时必须与民工班组签订详细书面合同（无下属劳务单位的，乙方直接与下属施工班组签订），就具体的工种、工价、工作量、出勤、签工、质量控制、工期、验收、结算方式、何时支付工资、付款方式等要素进行约定，并且与每位民工签订书面劳动合同。</w:t>
      </w:r>
    </w:p>
    <w:p>
      <w:pPr>
        <w:pStyle w:val="13"/>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27.3乙方与下属劳务单位（或施工班组）双方就单价、工程量、造价、质量控制、结算方式、工期、验收、何时付款、付款方式等事项进行约定，临时增加的工程量必须以乙方出具的施工联系单作为依据，双方及时签字确认。</w:t>
      </w:r>
    </w:p>
    <w:p>
      <w:pPr>
        <w:pStyle w:val="13"/>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27.4乙方要按合同约定如期支付下属劳务单位（或施工班组）工程进度款，优先支付民工工资款，乙方与下属劳务单位（或施工班组）双方就民工工资款专设监管账户，未经乙方同意下属劳务单位（或施工班组）无法出账，做到专款专用。乙方对下属劳务单位（或施工班组）发放民工工资应当派员进行指导、监督，确保及时足额发放。</w:t>
      </w:r>
    </w:p>
    <w:p>
      <w:pPr>
        <w:pStyle w:val="13"/>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27.5乙方支付下属劳务单位（或施工班组）进度款之前，有义务查阅下属劳务单位（或施工班组）前期民工工资足额发放的书面材料。</w:t>
      </w:r>
    </w:p>
    <w:p>
      <w:pPr>
        <w:pStyle w:val="13"/>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27.6乙方应制定相关约束性制度，落实措施，预防、杜绝下属劳务单位（或施工班组）无序维权事件发生。</w:t>
      </w:r>
    </w:p>
    <w:p>
      <w:pPr>
        <w:pStyle w:val="13"/>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27.7若民工或下属劳务单位（或施工班组）维权，乙方应负相应举证义务。</w:t>
      </w:r>
    </w:p>
    <w:p>
      <w:pPr>
        <w:pStyle w:val="13"/>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27.8一旦发生民工无序维权，乙方主要领导应当及时到场，督促下属劳务单位（或施工班组）负责人劝离民工，并积极配合甲方相关部门协调处置。</w:t>
      </w:r>
    </w:p>
    <w:p>
      <w:pPr>
        <w:pStyle w:val="13"/>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甲方对乙方的上述工作有随时监督检查的权利，乙方应积极配合甲方的检查。</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（二）空防安全管理  </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28、必须严格遵守民用航空安全、空防管理的法律、法规和机场安全管理的各项规章制度。属于机场不停航施工项目或需进入机场控制区施工的项目，其人员和车辆实行机场控制区通行证管理制度。</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29、通行证的办理遵从《杭州萧山国际机场控制区通行证管理办法》规定。在申请办理人员通行证时应当提供真实有效的身份证明、证照及其它相关资料，并进行背景调查，防止有违法、犯罪记录的人员进入施工队伍；在申请办理车辆通行证时应当提供车辆、设备的有效证件和检验记录，并对其真实性负责。上述通行证由乙方提出申请，报甲方备案，办证费用由乙方自理。</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30、进入机场控制区施工的人员和车辆需由甲方派员负责引领并主动接受机场管理人员的安全检查，服从机场相关职能部门的监管，无通行证者一律不得进入。</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31、应当加强通行证的管理，建立管理台帐。通行证仅限持证本人、本车使用，严禁转借、涂改和冒用；持证人员发生调离、辞退、开除等情况的，应及时收回通行证交由甲方报机场公安机关注销；如发生人员和车辆通行证遗失的，应在第一时间向甲方报告；持证车辆重新调配或报废的，应及时将通行证交由甲方申报注销。上述环节因乙方管理不力发生问题的，乙方应承担由此引发的一切后果和责任。</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32、距运行中的控制区围界5米内严禁堆放材料、设施和停放车辆、机具。临近控制区一侧施工围栏必须做到符合高度要求，牢固可靠。施工期间，属于机场不停航施工或需进入机场控制区施工的，安全员必须坚守岗位并加强巡查和管理，同时加强对施工人员的空防安全教育，杜绝施工人员攀爬、翻越、跨越隔离围栏及其他安全防护设施和向控制区内传递物品等影响机场运行、空防安全的事件。</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（三）不停航施工安全管理（仅指进入控制区从事不停航施工项目）</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33、不停航施工是指在机场不关闭并按照航班计划接受和放行航空器的情况下，在飞行区、部分航站区内实施工程作业。不停航施工的项目单位，必须严格遵守《民用机场运行安全管理规定》（191号令），严格按照甲方制定的有关《不停航施工组织管理方案》进行施工，主要包括但不限于以下内容：</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33.1在机场有飞行任务期间，禁止在跑道端之外300米以内、跑道中心线两侧60米以内的区域进行任何施工作业。如乙方需在跑道端300米以外、跑道中心线两侧60米以外区域施工的，机具、车辆的高度不得穿透障碍物限制面。除特别批准外，在滑行道、机坪道面边线以外施工的，应当与道（坪）边线保持7.5米加上本机场使用最大机型翼展宽度0.5倍的距离。</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33.2实行不停航施工的区域，开挖的明沟和施工材料堆放处，必须根据甲方要求用桔黄色小旗标识以示警告；在低能见度的白天和夜间，应当按照甲方要求加设红色恒定灯光；材料和临时堆放的施工垃圾应当采取防止被风或飞机尾流吹散的措施。</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33.3施工机具须停放在指定安全区域内。机场开放运行期间，必须严格控制施工机械的活动范围，杜绝出现机具、车辆侵入飞行活动区或超越机场净空限制面等情况。</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（四）社会治安管理</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34、遵守国家治安管理法律法规和甲方制定的各项社会治安综合治理管理规定，建立社会治安综合治理网络并纳入甲方社会治安综合治理网络体系，配备专职（兼职）综治联络员，负责治安、交通、消防、帮教、计生等综合治理工作，建立和健全群防群治力量及各项治安保卫制度，治安联络员名单和有关制度要报甲方和机场公安机关治安管理部门备案。</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35、进出口大门应设立门卫，人员和车辆凭甲方制发的施工通行证进出，并接受甲方安保人员或机场公安管理人员查验。</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36、做好内部的治安防范工作，对重要部位和物资、设备，要落实人防、物防和技防的措施，积极配合公安机关组织的治安联防活动。</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37、加强对施工人员的遵纪守法教育，预防“黄、毒、赌”、斗殴、偷窃等违法违纪行为的发生，主动接受甲方和机场公安机关的指导、检查、监督、考核。</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38、认真排查、调处各类矛盾，及时消除不稳定因素，杜绝各类社会矛盾引发的群体性事件的发生。</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39、制定包括重大安全生产事故、重大道路交通事故、重大消防安全事故、重大刑事案件以及群体性事件等突发性事件在内的应急处置预案，一旦发生，及时报告甲方和上级主管部门并做好处置工作。</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40、员工宿舍必须定人定位，不得男女混住，不准留宿身份不明的人员，留客住宿必须经项目部负责人同意，并登记备查，保证生产、生活区的安全。 </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41、加强对施工人员的管理，外来人员拟居住30天以下的，应及时到机场公安机关申报暂住登记；拟居住30天以上的年满16周岁人员， 应在10天内到机场公安机关申领《居住证》。</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42、负责工程建设期间施工队伍中的计划生育工作，做好孕情监测，确保无计划外生育的情况发生。</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（五）消防安全管理</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43、遵守国家消防法律法规，建立和健全消防管理规章制度，明确消防安全责任人，健全消防安全网络（配备专职或兼职消防员），建立消防应急队伍，并报甲方和机场公安局消防部门备案。</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44、制定用火、用电、使用易燃易爆及危险化学物品等各项消防安全操作规程，设置消防通道、消防水源、配备必须的消防设备和灭火器材，并在重点场所重点部位设置消防警示标志。</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45、施工中使用明火，使用电、气进行焊接和切割作业，须经机场公安消防管理部门审查批准，并在施工现场设置专门的防火监护人、接火盆、配足有效的灭火器材、清理附近的可燃物等。</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46、对施工人员进行消防安全教育，使其熟悉本岗位防火措施、遇险报警、初期扑救及自救逃生的知识和技能。</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47、自行搭建临时用房应符合防火设计规范，建立、健全员工宿舍消防安全管理规章制度，加强员工宿舍消防安全、用电安全管理，严禁不按规定用火和私拉乱接电线、严禁使用大功率电器。</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（六）交通安全管理</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48、加强对下属员工、驾驶人员、承运单位的道路交通安全法律法规宣传教育，车辆进出机场和施工场地均应服从交警及其他交通管理人员的指挥和管理。</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49、与承运单位或驾驶员签订《交通安全责任书》，并实行交通安全检查考核制度，配备交通安全联络员，对运输车辆驾驶员和施工人员进行交通安全教育并做好教育台帐，减少或控制交通违法行为的发生。</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50、确保各类运输车辆技术状况良好，不得使用假牌、假证、无号牌、无行驶证、无保险和带故障、检验不合格的运输车辆。</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51、所有运输车辆均应办理施工通行证并按指定路线和限定速度行驶，不得违反车辆装载规定，严禁沿路抛洒装载物。进入控制区施工车辆应安装并开启黄色警示灯。</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52、在施工现场内及进、出口处设置必要的交通标志，预防交通事故的发生。</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53、占用、挖掘道路，跨越道路架设、铺设管线以及大型机械进出机场须提前与甲方协商，征得甲方和机场公安局交警队同意，并采取防护措施和设置明显警示标志方可实施。</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四、违约责任</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54、本《安全文明施工协议书》是工程施工合同的重要组成部分，协议双方必须严格遵守和履行，如有违反，甲方可以追究乙方责任；乙方违约情况严重，或是社会影响恶劣，又或是造成甲方或第三方重大损失，甲方可解除施工合同且不须向乙方承担任何补偿、赔偿的责任。</w:t>
      </w:r>
    </w:p>
    <w:p>
      <w:pPr>
        <w:pStyle w:val="13"/>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55、乙方在生产施工中一旦发生责任事故造成甲方或第三方损害而未予赔偿的，甲方有权直接从应付工程款中扣除或支付赔偿费用，如甲方的损失超过应付工程款的，甲方有权向乙方追偿实际损失。乙方违反安全文明施工管理、空防安全管理、不停航施工安全管理、社会治安管理、消防安全管理或交通安全管理条款的并造成甲方损失的，甲方有权要求乙方承担损失赔偿责任。若导致甲方遭受第三方的索赔，则甲方有权要求乙方承担该等赔偿责任。</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56、乙方未尽本协议应尽义务，致使民工或下属劳务单位（或施工班组）无序维权事件发生的，甲方可按争议金额暂扣乙方部分工程款，作为该事件的应急使用款。最终根据该争议仲裁、判决或协商结果，从乙方工程款中直接扣除。</w:t>
      </w:r>
    </w:p>
    <w:p>
      <w:pPr>
        <w:pStyle w:val="13"/>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乙方未尽本协应尽义务，致使民工采取堵路、封门、冲关、静坐、上访、私贴标语、殴打他人、损毁财物、扰乱秩序、绝食、自焚、自杀等方式维权的，乙方应当承担全部经济损失及赔偿责任，给甲方造成损失的，除赔偿甲方的全部损失外，乙方应对甲方承担违约责任：每发生事件一次支付违约金人民币一万元，在事件中每受伤一人支付违约金人民币五万元，每死亡一人支付违约金人民币一百万元，该笔款项甲方有权从工程款中直接扣除，不足抵扣部分由乙方及时补足。乙方构成本项违约的事实，以公安部门的接处警记录或实际损害结果的发生为准。</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57、乙方确认本协议约定的违约金、罚款或赔偿金标准合理，乙方同意受甲方依据本协议书所制定的具体违约金、罚款或赔偿金标准的约束，乙方确认其已明白无误地了解该等具体的扣罚标准，乙方承担了该等违约金、罚款和/或赔偿金并不免除其应按合同约定予以全面履行的义务和责任。</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五、本协议书附于《</w:t>
      </w:r>
      <w:r>
        <w:rPr>
          <w:rFonts w:hint="eastAsia" w:ascii="仿宋_GB2312" w:hAnsi="仿宋_GB2312" w:eastAsia="仿宋_GB2312" w:cs="仿宋_GB2312"/>
          <w:color w:val="auto"/>
          <w:sz w:val="28"/>
          <w:szCs w:val="28"/>
          <w:u w:val="single"/>
        </w:rPr>
        <w:t>杭州萧山国际机场T4航站楼国际中转厅电源敷设项目</w:t>
      </w:r>
      <w:r>
        <w:rPr>
          <w:rFonts w:hint="eastAsia" w:ascii="仿宋_GB2312" w:hAnsi="仿宋_GB2312" w:eastAsia="仿宋_GB2312" w:cs="仿宋_GB2312"/>
          <w:color w:val="auto"/>
          <w:sz w:val="28"/>
          <w:szCs w:val="28"/>
        </w:rPr>
        <w:t>施工合同》后，本协议书自甲方、乙方共同盖章后生效。</w:t>
      </w: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p>
    <w:p>
      <w:pPr>
        <w:pStyle w:val="13"/>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甲方（盖章）：                 乙方（盖章）：</w:t>
      </w:r>
    </w:p>
    <w:p>
      <w:pPr>
        <w:spacing w:line="560" w:lineRule="exact"/>
        <w:rPr>
          <w:rFonts w:ascii="仿宋_GB2312" w:hAnsi="仿宋_GB2312" w:eastAsia="仿宋_GB2312" w:cs="仿宋_GB2312"/>
          <w:color w:val="auto"/>
          <w:sz w:val="28"/>
          <w:szCs w:val="28"/>
        </w:rPr>
      </w:pPr>
    </w:p>
    <w:p>
      <w:pPr>
        <w:pageBreakBefore/>
        <w:adjustRightInd w:val="0"/>
        <w:snapToGrid w:val="0"/>
        <w:spacing w:line="560" w:lineRule="exact"/>
        <w:rPr>
          <w:rFonts w:ascii="黑体" w:hAnsi="黑体" w:eastAsia="黑体" w:cs="黑体"/>
          <w:color w:val="auto"/>
          <w:sz w:val="32"/>
          <w:szCs w:val="32"/>
        </w:rPr>
      </w:pPr>
      <w:r>
        <w:rPr>
          <w:rFonts w:hint="eastAsia" w:ascii="黑体" w:hAnsi="黑体" w:eastAsia="黑体" w:cs="黑体"/>
          <w:color w:val="auto"/>
          <w:sz w:val="32"/>
          <w:szCs w:val="32"/>
        </w:rPr>
        <w:t>附件3附件</w:t>
      </w:r>
    </w:p>
    <w:p>
      <w:pPr>
        <w:adjustRightInd w:val="0"/>
        <w:snapToGrid w:val="0"/>
        <w:spacing w:line="560" w:lineRule="exact"/>
        <w:ind w:firstLine="440" w:firstLineChars="200"/>
        <w:rPr>
          <w:rFonts w:ascii="仿宋_GB2312" w:hAnsi="仿宋_GB2312" w:eastAsia="仿宋_GB2312" w:cs="仿宋_GB2312"/>
          <w:color w:val="auto"/>
          <w:sz w:val="22"/>
        </w:rPr>
      </w:pPr>
    </w:p>
    <w:p>
      <w:pPr>
        <w:adjustRightInd w:val="0"/>
        <w:snapToGrid w:val="0"/>
        <w:spacing w:line="560" w:lineRule="exact"/>
        <w:jc w:val="center"/>
        <w:rPr>
          <w:rFonts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杭州萧山国际机场基建项目安全文明施工考核办法</w:t>
      </w:r>
    </w:p>
    <w:p>
      <w:pPr>
        <w:widowControl/>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为了加强机场基建项目安全文明施工管理，保障机场安全有序运行，保证工程项目安全顺利建成。根据国家相关法律、法规和安全生产规范、规程、标准及与施工项目部签订的《杭州萧山国际机场安全文明施工协议书》，制定本考核办法。</w:t>
      </w:r>
    </w:p>
    <w:p>
      <w:pPr>
        <w:widowControl/>
        <w:adjustRightInd w:val="0"/>
        <w:snapToGrid w:val="0"/>
        <w:spacing w:line="560" w:lineRule="exact"/>
        <w:ind w:firstLine="560" w:firstLineChars="200"/>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一、考核原则</w:t>
      </w:r>
    </w:p>
    <w:p>
      <w:pPr>
        <w:widowControl/>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预先通知原则。动力部（包括临时成立的检查小组）对于发现的安全问题隐患，首先开具《安全隐患整改通知书》（以下简称“整改通知书”，附后），施工项目部接到《整改通知书》后在指定期限内未整改到位的，按照本考核办法予以收取违约金，未预先书面通知的不予收取违约金。</w:t>
      </w:r>
    </w:p>
    <w:p>
      <w:pPr>
        <w:widowControl/>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奖励与收取违约金相结合原则。通过考核与评比，在杭州萧山国际机场有限公司或动力部组织的各类检查评比中，获得好评的的施工项目部将按照相关规定予以奖励；对违反国家相关法律、法规和安全生产规范、规程、标准及《杭州萧山国际机场安全文明施工协议书》的，将严格按照本考核办法扣罚。</w:t>
      </w:r>
    </w:p>
    <w:p>
      <w:pPr>
        <w:widowControl/>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考核与结算相结合原则。动力部（包括临时成立的检查小组）对其查出的安全问题隐患，经通知仍未整改的，开具《安全文明施工工作联系单》（以下简称“联系单”，附后）督促跟踪整改，并做好备案记录，一并于项目竣工后结算。</w:t>
      </w:r>
    </w:p>
    <w:p>
      <w:pPr>
        <w:widowControl/>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（四）考核与经济利益直接挂钩原则。以《安全文明施工工作联系单》确认的奖惩数额为准。</w:t>
      </w:r>
    </w:p>
    <w:p>
      <w:pPr>
        <w:widowControl/>
        <w:adjustRightInd w:val="0"/>
        <w:snapToGrid w:val="0"/>
        <w:spacing w:line="560" w:lineRule="exact"/>
        <w:ind w:firstLine="560" w:firstLineChars="200"/>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二、适用范围</w:t>
      </w:r>
    </w:p>
    <w:p>
      <w:pPr>
        <w:widowControl/>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本考核办法适用于参与杭州萧山国际机场基本建设的各施工单位。与总包单位签订分包合同的分包单位纳入对总包单位的考核，不作为被考核主体。</w:t>
      </w:r>
    </w:p>
    <w:p>
      <w:pPr>
        <w:widowControl/>
        <w:adjustRightInd w:val="0"/>
        <w:snapToGrid w:val="0"/>
        <w:spacing w:line="560" w:lineRule="exact"/>
        <w:ind w:firstLine="560" w:firstLineChars="200"/>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三、考核程序</w:t>
      </w:r>
    </w:p>
    <w:p>
      <w:pPr>
        <w:widowControl/>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整改通知书》的开具和签发。日常安全检查中发现施工项目部有违反国家相关法律、法规和安全生产规范、规程、标准及《杭州萧山国际机场安全文明施工协议书》行为的，由检查人员开具《整改通知书》，内容包括存在的安全隐患、整改建议和整改时限，经责任施工项目部或责任监理项目部签章后由检查人员签字、检查部门签章后生效。《整改通知书》一式三份，检查人员、责任施工项目部、责任监理项目部各持一份。</w:t>
      </w:r>
    </w:p>
    <w:p>
      <w:pPr>
        <w:widowControl/>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安全问题隐患的整改。施工项目部收到《整改通知书》后，应在指定的整改期限内将整改内容、措施逐一落实；确因客观因素或特殊原因无法按期整改到位的，项目部须以书面形式说明原因和明确后续整改期限，经监理部签署意见后报《整改通知书》签发人，经同意并签字后方可推迟整改期限，附在《整改通知书》后。</w:t>
      </w:r>
    </w:p>
    <w:p>
      <w:pPr>
        <w:widowControl/>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安全文明施工工作联系单》的开具和签发。《整改通知书》签发人会同责任施工、监理项目部人员按整改期限对安全问题隐患整改落实情况进行复查，对未整改落实的安全问题隐患由复查人员对照《杭州萧山国际机场基本建设安全文明施工违约金标准》（以下简称“违约金标准”，附后）开具《安全文明施工工作联系单》，内容包括整改通知书编号、违约金通知单编号和未按要求整改内容描述以及违约金额度，经责任施工或监理项目部签章后，由检查人员签字，检查部门盖章后签发。《安全文明施工工作联系单》一式四份，签发人、责任施工项目部、责任监理项目部各持一份，报动力部一份。</w:t>
      </w:r>
    </w:p>
    <w:p>
      <w:pPr>
        <w:widowControl/>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（四）考核最终汇总兑现。各施工项目部工程结束后由动力部计算出累计收取违约金总数，从工程履约保证金中扣除，但不得超过工程履约保证金的20%，若超出或无履约保证金则直接从工程进度款中扣除。</w:t>
      </w:r>
    </w:p>
    <w:p>
      <w:pPr>
        <w:widowControl/>
        <w:adjustRightInd w:val="0"/>
        <w:snapToGrid w:val="0"/>
        <w:spacing w:line="560" w:lineRule="exact"/>
        <w:ind w:firstLine="560" w:firstLineChars="200"/>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四、其它</w:t>
      </w:r>
    </w:p>
    <w:p>
      <w:pPr>
        <w:widowControl/>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（一）施工项目部突破《杭州萧山国际机场安全文明施工协议书》安全控制目标内容之一的，不属于本办法考核范围，由动力部依据有关规定直接收取违约金。</w:t>
      </w:r>
    </w:p>
    <w:p>
      <w:pPr>
        <w:widowControl/>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（二）《违约金标准》中所称的“协议”是指杭州萧山国际机场有限公司与施工项目部签订的《杭州萧山国际机场安全文明施工协议书》及各种协议文件；“建标”是指《建筑施工安全检查标准》（JGJ59-2011）。</w:t>
      </w:r>
    </w:p>
    <w:p>
      <w:pPr>
        <w:widowControl/>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（三）施工项目部收到《安全文明施工工作联系单》后，在指定期限内仍未整改到位，加倍收取违约金直至整改到位为止。</w:t>
      </w:r>
    </w:p>
    <w:p>
      <w:pPr>
        <w:widowControl/>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（四）本考核办法未作规定，但已违反国家相关法律、法规和安全生产规范、规程、标准及《杭州萧山国际机场安全文明施工协议书》的行为，由动力部参照《违约金标准》相关规定收取违约金。</w:t>
      </w:r>
    </w:p>
    <w:p>
      <w:pPr>
        <w:widowControl/>
        <w:adjustRightInd w:val="0"/>
        <w:snapToGrid w:val="0"/>
        <w:spacing w:line="560" w:lineRule="exact"/>
        <w:ind w:left="42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br w:type="page"/>
      </w:r>
      <w:r>
        <w:rPr>
          <w:rFonts w:hint="eastAsia" w:ascii="仿宋_GB2312" w:hAnsi="仿宋_GB2312" w:eastAsia="仿宋_GB2312" w:cs="仿宋_GB2312"/>
          <w:b/>
          <w:bCs/>
          <w:color w:val="auto"/>
          <w:sz w:val="32"/>
          <w:szCs w:val="32"/>
        </w:rPr>
        <w:t>基建项目安全文明施工违约金标准</w:t>
      </w:r>
    </w:p>
    <w:p>
      <w:pPr>
        <w:widowControl/>
        <w:adjustRightInd w:val="0"/>
        <w:snapToGrid w:val="0"/>
        <w:spacing w:line="560" w:lineRule="exact"/>
        <w:ind w:firstLine="440" w:firstLineChars="200"/>
        <w:rPr>
          <w:rFonts w:ascii="仿宋_GB2312" w:hAnsi="仿宋_GB2312" w:eastAsia="仿宋_GB2312" w:cs="仿宋_GB2312"/>
          <w:color w:val="auto"/>
          <w:sz w:val="22"/>
        </w:rPr>
      </w:pPr>
    </w:p>
    <w:tbl>
      <w:tblPr>
        <w:tblStyle w:val="12"/>
        <w:tblW w:w="9825" w:type="dxa"/>
        <w:jc w:val="center"/>
        <w:tblInd w:w="0" w:type="dxa"/>
        <w:tblLayout w:type="fixed"/>
        <w:tblCellMar>
          <w:top w:w="0" w:type="dxa"/>
          <w:left w:w="0" w:type="dxa"/>
          <w:bottom w:w="0" w:type="dxa"/>
          <w:right w:w="0" w:type="dxa"/>
        </w:tblCellMar>
      </w:tblPr>
      <w:tblGrid>
        <w:gridCol w:w="1113"/>
        <w:gridCol w:w="6390"/>
        <w:gridCol w:w="882"/>
        <w:gridCol w:w="1440"/>
      </w:tblGrid>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序列号</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内       容</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依据</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扣分标准</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1</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不停航施工</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b/>
                <w:color w:val="auto"/>
                <w:sz w:val="28"/>
                <w:szCs w:val="28"/>
              </w:rPr>
            </w:pP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b/>
                <w:color w:val="auto"/>
                <w:sz w:val="28"/>
                <w:szCs w:val="28"/>
              </w:rPr>
            </w:pP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未按照杭州国际机场不停航施工组织方案、安全保障措施进行施工作业影响机场正常运行或造成不安全事件的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方案</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20000元/次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1.2</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无故不参加各类不停航施工例会、专题会议的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1.3</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未对施工人员进行空防安全和运行安全教育培训或教育培训无台帐记录的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方案</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100元/人</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1.4</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施工进场前未对施工人员进行安全教育或交底的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1.5</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管理人员擅离岗位、未实施全程监管或未有效履行安全管理职责的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方案</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1.6</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现场不服从机场或动力部现场管理人员指挥、管理的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1.7</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未按规定设置或撤除关闭标志、警戒围栏、警示灯具的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方案</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10000元/次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1.8</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施工人员、车辆、机具擅自侵入飞行活动区或超出净空限制面高度的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协议</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20000元/次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1.9</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施工人员攀爬、翻越、跨越隔离围栏及其他安全防护设施或向控制区内传递物品等，尚未影响机场正常运行的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协议</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1.10</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施工人员、车辆、机具擅自超越指定施工活动范围或机具不按指定区域停放的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1.11</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距控制区围界5米内堆放材料、设备或停放车辆、机具，造成空防安全隐患的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协议</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200元/处、次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1.12</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不按要求作业，挖破或挖断地下管线</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20000元/次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1.13</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未按规定对材料、临时堆放物、施工垃圾采取防风、防尾流吹散措施的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协议</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500元/处、次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1.14</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施工现场随意丢弃生活垃圾及易漂浮物的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协议</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200元/件</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1.15</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未做到工完场清，沿线道面、施工现场遗留工具、材料、垃圾未及时清理清扫的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1.16</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进入控制区施工的车辆存在灯光、转向、制动等机械故障和尾部无放大号的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方案</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100元/辆、次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1.17</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在控制区内行驶车辆未安装或未开启黄色警示灯的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50元/处次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1.18</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控制区车辆驾驶员在控制区内有违章驾驶行为的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1.19</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无应急处置预案和机制，发生紧急情况未能及时有效处置，影响机场正常运行的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20000元/次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1.20</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发生其它违反《民用机场运行安全管理规定》（191号令）和杭州萧山国际机场安全运行管理规定行为的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方案</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视情收取违约金</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2</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空防安全</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b/>
                <w:color w:val="auto"/>
                <w:sz w:val="28"/>
                <w:szCs w:val="28"/>
              </w:rPr>
            </w:pP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b/>
                <w:color w:val="auto"/>
                <w:sz w:val="28"/>
                <w:szCs w:val="28"/>
              </w:rPr>
            </w:pP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2.1</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进入控制区的人员不服从机场管理人员的管理、检查的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100元/人、次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2.2</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把关不严，提供虚假证明、证件或其它相关资料申办控制区人员通行证的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2.3</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提供虚假车辆、设备证件、检验记录和保险凭证申办《车辆通行证》的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200元/辆、次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2.4</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车辆证件、检验记录和保险凭证过期失效未补办后续手续，仍进入控制区施工作业的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50元/辆、次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2.5</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未建立控制区通行证统一保管制度，无控制区通行证管理台帐或台帐记录不全的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2.6</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发生无证施工人员进入控制区的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50元/人次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2.7</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发生施工人员转借、涂改、冒用他人通行证的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1000元/人次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2.8</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人员、车辆通行证保管不善，造成丢失；或通行证遗失不及时上报的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500元/张、次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2.9</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人员调离、辞退、开除，车辆重新调配，或通行证到期，证件未在规定时限内交回注销的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200元/张、次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2.10</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施工队伍中有违法、犯罪人员，隐瞒不报的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2000元/人次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2.11</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毗邻控制区施工，未安装沿围界监控探头或监控探头存有盲区（段），监控无专人值守或值守人员离岗脱岗的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视情收取违约金</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2.12</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毗邻控制区施工，沿围界未设置专门看护的固定和巡逻保安岗位、保安人员擅离岗位或保安人员未履职管理的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1000元/人、次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2.13</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在机场区域内燃放烟花、爆竹，或施放气球、风筝等升空物体的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2.14</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在机场区域内饲养猫、狗、鸡、鸭等牲畜、动物的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2.15</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其它违反民用航空安全、法律、法规和机场空防安全管理规定的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视情收取违约金</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3</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安全生产</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b/>
                <w:color w:val="auto"/>
                <w:sz w:val="28"/>
                <w:szCs w:val="28"/>
              </w:rPr>
            </w:pP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b/>
                <w:color w:val="auto"/>
                <w:sz w:val="28"/>
                <w:szCs w:val="28"/>
              </w:rPr>
            </w:pP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3.1</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安全生产管理体制</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3.1.1</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安全管理制度不健全，项目经理、项目技术负责人等各类管理人员（包括安全员、资料员、质控员）未按相关规定要求到位的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5000元/项</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3.1.2</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安全制度执行不力，无考核机制或考核制度执行不严</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500元/项</w:t>
            </w:r>
          </w:p>
        </w:tc>
      </w:tr>
      <w:tr>
        <w:tblPrEx>
          <w:tblLayout w:type="fixed"/>
          <w:tblCellMar>
            <w:top w:w="0" w:type="dxa"/>
            <w:left w:w="0" w:type="dxa"/>
            <w:bottom w:w="0" w:type="dxa"/>
            <w:right w:w="0" w:type="dxa"/>
          </w:tblCellMar>
        </w:tblPrEx>
        <w:trPr>
          <w:trHeight w:val="300" w:hRule="atLeast"/>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3.1.3</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安全责任制未建立</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500元/项</w:t>
            </w:r>
          </w:p>
        </w:tc>
      </w:tr>
      <w:tr>
        <w:tblPrEx>
          <w:tblLayout w:type="fixed"/>
          <w:tblCellMar>
            <w:top w:w="0" w:type="dxa"/>
            <w:left w:w="0" w:type="dxa"/>
            <w:bottom w:w="0" w:type="dxa"/>
            <w:right w:w="0" w:type="dxa"/>
          </w:tblCellMar>
        </w:tblPrEx>
        <w:trPr>
          <w:trHeight w:val="300" w:hRule="atLeast"/>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3.1.4</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安全责任制不健全，未层层签订至班组或岗位的各级安全责任书</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1000元/项</w:t>
            </w:r>
          </w:p>
        </w:tc>
      </w:tr>
      <w:tr>
        <w:tblPrEx>
          <w:tblLayout w:type="fixed"/>
          <w:tblCellMar>
            <w:top w:w="0" w:type="dxa"/>
            <w:left w:w="0" w:type="dxa"/>
            <w:bottom w:w="0" w:type="dxa"/>
            <w:right w:w="0" w:type="dxa"/>
          </w:tblCellMar>
        </w:tblPrEx>
        <w:trPr>
          <w:trHeight w:val="285" w:hRule="atLeast"/>
          <w:jc w:val="center"/>
        </w:trPr>
        <w:tc>
          <w:tcPr>
            <w:tcW w:w="11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3.1.5</w:t>
            </w:r>
          </w:p>
        </w:tc>
        <w:tc>
          <w:tcPr>
            <w:tcW w:w="63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各级各部门未执行责任制的</w:t>
            </w:r>
          </w:p>
        </w:tc>
        <w:tc>
          <w:tcPr>
            <w:tcW w:w="88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500元/项</w:t>
            </w:r>
          </w:p>
        </w:tc>
      </w:tr>
      <w:tr>
        <w:tblPrEx>
          <w:tblLayout w:type="fixed"/>
          <w:tblCellMar>
            <w:top w:w="0" w:type="dxa"/>
            <w:left w:w="0" w:type="dxa"/>
            <w:bottom w:w="0" w:type="dxa"/>
            <w:right w:w="0" w:type="dxa"/>
          </w:tblCellMar>
        </w:tblPrEx>
        <w:trPr>
          <w:trHeight w:val="300" w:hRule="atLeast"/>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3.1.6</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经济承包中无安全生产、文明施工目标管理或目标管理不落实</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1000元/项</w:t>
            </w:r>
          </w:p>
        </w:tc>
      </w:tr>
      <w:tr>
        <w:tblPrEx>
          <w:tblLayout w:type="fixed"/>
          <w:tblCellMar>
            <w:top w:w="0" w:type="dxa"/>
            <w:left w:w="0" w:type="dxa"/>
            <w:bottom w:w="0" w:type="dxa"/>
            <w:right w:w="0" w:type="dxa"/>
          </w:tblCellMar>
        </w:tblPrEx>
        <w:trPr>
          <w:trHeight w:val="255" w:hRule="atLeast"/>
          <w:jc w:val="center"/>
        </w:trPr>
        <w:tc>
          <w:tcPr>
            <w:tcW w:w="11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3.1.7</w:t>
            </w:r>
          </w:p>
        </w:tc>
        <w:tc>
          <w:tcPr>
            <w:tcW w:w="63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未制定各工种安全技术操作规程的</w:t>
            </w:r>
          </w:p>
        </w:tc>
        <w:tc>
          <w:tcPr>
            <w:tcW w:w="88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500元/项</w:t>
            </w:r>
          </w:p>
        </w:tc>
      </w:tr>
      <w:tr>
        <w:tblPrEx>
          <w:tblLayout w:type="fixed"/>
          <w:tblCellMar>
            <w:top w:w="0" w:type="dxa"/>
            <w:left w:w="0" w:type="dxa"/>
            <w:bottom w:w="0" w:type="dxa"/>
            <w:right w:w="0" w:type="dxa"/>
          </w:tblCellMar>
        </w:tblPrEx>
        <w:trPr>
          <w:trHeight w:val="283" w:hRule="atLeast"/>
          <w:jc w:val="center"/>
        </w:trPr>
        <w:tc>
          <w:tcPr>
            <w:tcW w:w="11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3.1.8</w:t>
            </w:r>
          </w:p>
        </w:tc>
        <w:tc>
          <w:tcPr>
            <w:tcW w:w="63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专（兼）职安全员不按规定如数到位的</w:t>
            </w:r>
          </w:p>
        </w:tc>
        <w:tc>
          <w:tcPr>
            <w:tcW w:w="88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widowControl/>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500元/人</w:t>
            </w:r>
          </w:p>
        </w:tc>
      </w:tr>
      <w:tr>
        <w:tblPrEx>
          <w:tblLayout w:type="fixed"/>
          <w:tblCellMar>
            <w:top w:w="0" w:type="dxa"/>
            <w:left w:w="0" w:type="dxa"/>
            <w:bottom w:w="0" w:type="dxa"/>
            <w:right w:w="0" w:type="dxa"/>
          </w:tblCellMar>
        </w:tblPrEx>
        <w:trPr>
          <w:trHeight w:val="300" w:hRule="atLeast"/>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3.1.9</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单位内部安全网络未建立或不健全</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300元/次</w:t>
            </w:r>
          </w:p>
        </w:tc>
      </w:tr>
      <w:tr>
        <w:tblPrEx>
          <w:tblLayout w:type="fixed"/>
          <w:tblCellMar>
            <w:top w:w="0" w:type="dxa"/>
            <w:left w:w="0" w:type="dxa"/>
            <w:bottom w:w="0" w:type="dxa"/>
            <w:right w:w="0" w:type="dxa"/>
          </w:tblCellMar>
        </w:tblPrEx>
        <w:trPr>
          <w:trHeight w:val="300" w:hRule="atLeast"/>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3.1.10</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拒绝或拖延加入基建安全网络</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200元/次</w:t>
            </w:r>
          </w:p>
        </w:tc>
      </w:tr>
      <w:tr>
        <w:tblPrEx>
          <w:tblLayout w:type="fixed"/>
          <w:tblCellMar>
            <w:top w:w="0" w:type="dxa"/>
            <w:left w:w="0" w:type="dxa"/>
            <w:bottom w:w="0" w:type="dxa"/>
            <w:right w:w="0" w:type="dxa"/>
          </w:tblCellMar>
        </w:tblPrEx>
        <w:trPr>
          <w:trHeight w:val="300" w:hRule="atLeast"/>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3.1.11</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无故不参加动力部组织的各种安全会议、网络活动</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200元/次</w:t>
            </w:r>
          </w:p>
        </w:tc>
      </w:tr>
      <w:tr>
        <w:tblPrEx>
          <w:tblLayout w:type="fixed"/>
          <w:tblCellMar>
            <w:top w:w="0" w:type="dxa"/>
            <w:left w:w="0" w:type="dxa"/>
            <w:bottom w:w="0" w:type="dxa"/>
            <w:right w:w="0" w:type="dxa"/>
          </w:tblCellMar>
        </w:tblPrEx>
        <w:trPr>
          <w:trHeight w:val="300" w:hRule="atLeast"/>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3.1.12</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不按规定开展各级、各类安全教育培训，未按规定设置民工学校</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500元/次</w:t>
            </w:r>
          </w:p>
        </w:tc>
      </w:tr>
      <w:tr>
        <w:tblPrEx>
          <w:tblLayout w:type="fixed"/>
          <w:tblCellMar>
            <w:top w:w="0" w:type="dxa"/>
            <w:left w:w="0" w:type="dxa"/>
            <w:bottom w:w="0" w:type="dxa"/>
            <w:right w:w="0" w:type="dxa"/>
          </w:tblCellMar>
        </w:tblPrEx>
        <w:trPr>
          <w:trHeight w:val="300" w:hRule="atLeast"/>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3.1.13</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对施工人员无安全教育或安全教育无针对性</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200元/次</w:t>
            </w:r>
          </w:p>
        </w:tc>
      </w:tr>
      <w:tr>
        <w:tblPrEx>
          <w:tblLayout w:type="fixed"/>
          <w:tblCellMar>
            <w:top w:w="0" w:type="dxa"/>
            <w:left w:w="0" w:type="dxa"/>
            <w:bottom w:w="0" w:type="dxa"/>
            <w:right w:w="0" w:type="dxa"/>
          </w:tblCellMar>
        </w:tblPrEx>
        <w:trPr>
          <w:trHeight w:val="300" w:hRule="atLeast"/>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3.1.14</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无日常安全检查、定期安全检查、专项安全检查记录或记录不全</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widowControl/>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100元/次</w:t>
            </w:r>
          </w:p>
        </w:tc>
      </w:tr>
      <w:tr>
        <w:tblPrEx>
          <w:tblLayout w:type="fixed"/>
          <w:tblCellMar>
            <w:top w:w="0" w:type="dxa"/>
            <w:left w:w="0" w:type="dxa"/>
            <w:bottom w:w="0" w:type="dxa"/>
            <w:right w:w="0" w:type="dxa"/>
          </w:tblCellMar>
        </w:tblPrEx>
        <w:trPr>
          <w:trHeight w:val="225" w:hRule="atLeast"/>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3.1.15</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无安全管理台账或安全管理台账缺失不全</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2000元/次</w:t>
            </w:r>
          </w:p>
        </w:tc>
      </w:tr>
      <w:tr>
        <w:tblPrEx>
          <w:tblLayout w:type="fixed"/>
          <w:tblCellMar>
            <w:top w:w="0" w:type="dxa"/>
            <w:left w:w="0" w:type="dxa"/>
            <w:bottom w:w="0" w:type="dxa"/>
            <w:right w:w="0" w:type="dxa"/>
          </w:tblCellMar>
        </w:tblPrEx>
        <w:trPr>
          <w:trHeight w:val="300" w:hRule="atLeast"/>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3.1.16</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对查出的隐患整改做不到定人、定时间、定措施进行整改落实的</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1000元/次</w:t>
            </w:r>
          </w:p>
        </w:tc>
      </w:tr>
      <w:tr>
        <w:tblPrEx>
          <w:tblLayout w:type="fixed"/>
          <w:tblCellMar>
            <w:top w:w="0" w:type="dxa"/>
            <w:left w:w="0" w:type="dxa"/>
            <w:bottom w:w="0" w:type="dxa"/>
            <w:right w:w="0" w:type="dxa"/>
          </w:tblCellMar>
        </w:tblPrEx>
        <w:trPr>
          <w:trHeight w:val="186" w:hRule="atLeast"/>
          <w:jc w:val="center"/>
        </w:trPr>
        <w:tc>
          <w:tcPr>
            <w:tcW w:w="11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3.1.17</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对隐患整改通知书所列项目未如期整改完成的</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1000元/张</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3.2</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施工组织</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p>
        </w:tc>
      </w:tr>
      <w:tr>
        <w:tblPrEx>
          <w:tblLayout w:type="fixed"/>
          <w:tblCellMar>
            <w:top w:w="0" w:type="dxa"/>
            <w:left w:w="0" w:type="dxa"/>
            <w:bottom w:w="0" w:type="dxa"/>
            <w:right w:w="0" w:type="dxa"/>
          </w:tblCellMar>
        </w:tblPrEx>
        <w:trPr>
          <w:trHeight w:val="285" w:hRule="atLeast"/>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3.2.1</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无施工组织设计或施工组织设计未经审批的</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10000元/次</w:t>
            </w:r>
          </w:p>
        </w:tc>
      </w:tr>
      <w:tr>
        <w:tblPrEx>
          <w:tblLayout w:type="fixed"/>
          <w:tblCellMar>
            <w:top w:w="0" w:type="dxa"/>
            <w:left w:w="0" w:type="dxa"/>
            <w:bottom w:w="0" w:type="dxa"/>
            <w:right w:w="0" w:type="dxa"/>
          </w:tblCellMar>
        </w:tblPrEx>
        <w:trPr>
          <w:trHeight w:val="270" w:hRule="atLeast"/>
          <w:jc w:val="center"/>
        </w:trPr>
        <w:tc>
          <w:tcPr>
            <w:tcW w:w="11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3.2.2</w:t>
            </w:r>
          </w:p>
        </w:tc>
        <w:tc>
          <w:tcPr>
            <w:tcW w:w="63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施工组织设计中无安全措施或安全措施不全面、无针对性</w:t>
            </w:r>
          </w:p>
        </w:tc>
        <w:tc>
          <w:tcPr>
            <w:tcW w:w="88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widowControl/>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500元/次</w:t>
            </w:r>
          </w:p>
        </w:tc>
      </w:tr>
      <w:tr>
        <w:tblPrEx>
          <w:tblLayout w:type="fixed"/>
          <w:tblCellMar>
            <w:top w:w="0" w:type="dxa"/>
            <w:left w:w="0" w:type="dxa"/>
            <w:bottom w:w="0" w:type="dxa"/>
            <w:right w:w="0" w:type="dxa"/>
          </w:tblCellMar>
        </w:tblPrEx>
        <w:trPr>
          <w:trHeight w:val="270" w:hRule="atLeast"/>
          <w:jc w:val="center"/>
        </w:trPr>
        <w:tc>
          <w:tcPr>
            <w:tcW w:w="11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3.2.3</w:t>
            </w:r>
          </w:p>
        </w:tc>
        <w:tc>
          <w:tcPr>
            <w:tcW w:w="63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专业性较强、危险性较大的项目，未单独编制专项安全施工组织设计、未制定专项施工方案或未经过专家论证的</w:t>
            </w:r>
          </w:p>
        </w:tc>
        <w:tc>
          <w:tcPr>
            <w:tcW w:w="88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10000元/次</w:t>
            </w:r>
          </w:p>
        </w:tc>
      </w:tr>
      <w:tr>
        <w:tblPrEx>
          <w:tblLayout w:type="fixed"/>
          <w:tblCellMar>
            <w:top w:w="0" w:type="dxa"/>
            <w:left w:w="0" w:type="dxa"/>
            <w:bottom w:w="0" w:type="dxa"/>
            <w:right w:w="0" w:type="dxa"/>
          </w:tblCellMar>
        </w:tblPrEx>
        <w:trPr>
          <w:trHeight w:val="270" w:hRule="atLeast"/>
          <w:jc w:val="center"/>
        </w:trPr>
        <w:tc>
          <w:tcPr>
            <w:tcW w:w="11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3.2.4</w:t>
            </w:r>
          </w:p>
        </w:tc>
        <w:tc>
          <w:tcPr>
            <w:tcW w:w="63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施工组织设计安全措施未落实或落实有漏项的</w:t>
            </w:r>
          </w:p>
        </w:tc>
        <w:tc>
          <w:tcPr>
            <w:tcW w:w="88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500元/条</w:t>
            </w:r>
          </w:p>
        </w:tc>
      </w:tr>
      <w:tr>
        <w:tblPrEx>
          <w:tblLayout w:type="fixed"/>
          <w:tblCellMar>
            <w:top w:w="0" w:type="dxa"/>
            <w:left w:w="0" w:type="dxa"/>
            <w:bottom w:w="0" w:type="dxa"/>
            <w:right w:w="0" w:type="dxa"/>
          </w:tblCellMar>
        </w:tblPrEx>
        <w:trPr>
          <w:trHeight w:val="370" w:hRule="atLeast"/>
          <w:jc w:val="center"/>
        </w:trPr>
        <w:tc>
          <w:tcPr>
            <w:tcW w:w="11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3.2.5</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不按规定进行安全技术交底，或交底不全、交底针对性不强</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3.3</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现场安全设施和措施</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djustRightInd w:val="0"/>
              <w:snapToGrid w:val="0"/>
              <w:spacing w:line="560" w:lineRule="exact"/>
              <w:rPr>
                <w:rFonts w:ascii="仿宋_GB2312" w:hAnsi="仿宋_GB2312" w:eastAsia="仿宋_GB2312" w:cs="仿宋_GB2312"/>
                <w:color w:val="auto"/>
                <w:sz w:val="28"/>
                <w:szCs w:val="28"/>
              </w:rPr>
            </w:pP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3.3.1</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使用国家明令淘汰、禁止使用的危及施工安全的工艺、设备、材料的。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1000元</w:t>
            </w:r>
          </w:p>
        </w:tc>
      </w:tr>
      <w:tr>
        <w:tblPrEx>
          <w:tblLayout w:type="fixed"/>
          <w:tblCellMar>
            <w:top w:w="0" w:type="dxa"/>
            <w:left w:w="0" w:type="dxa"/>
            <w:bottom w:w="0" w:type="dxa"/>
            <w:right w:w="0" w:type="dxa"/>
          </w:tblCellMar>
        </w:tblPrEx>
        <w:trPr>
          <w:trHeight w:val="315" w:hRule="atLeast"/>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3.3.2</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地面开挖作业未对毗邻建筑物、构筑物和地下管线等采取专项防护措施的</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500元/处</w:t>
            </w:r>
          </w:p>
        </w:tc>
      </w:tr>
      <w:tr>
        <w:tblPrEx>
          <w:tblLayout w:type="fixed"/>
          <w:tblCellMar>
            <w:top w:w="0" w:type="dxa"/>
            <w:left w:w="0" w:type="dxa"/>
            <w:bottom w:w="0" w:type="dxa"/>
            <w:right w:w="0" w:type="dxa"/>
          </w:tblCellMar>
        </w:tblPrEx>
        <w:trPr>
          <w:trHeight w:val="195" w:hRule="atLeast"/>
          <w:jc w:val="center"/>
        </w:trPr>
        <w:tc>
          <w:tcPr>
            <w:tcW w:w="11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3.3.3</w:t>
            </w:r>
          </w:p>
        </w:tc>
        <w:tc>
          <w:tcPr>
            <w:tcW w:w="63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基坑支护无方案或不按方案实施的</w:t>
            </w:r>
          </w:p>
        </w:tc>
        <w:tc>
          <w:tcPr>
            <w:tcW w:w="88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10000元/次</w:t>
            </w:r>
          </w:p>
        </w:tc>
      </w:tr>
      <w:tr>
        <w:tblPrEx>
          <w:tblLayout w:type="fixed"/>
          <w:tblCellMar>
            <w:top w:w="0" w:type="dxa"/>
            <w:left w:w="0" w:type="dxa"/>
            <w:bottom w:w="0" w:type="dxa"/>
            <w:right w:w="0" w:type="dxa"/>
          </w:tblCellMar>
        </w:tblPrEx>
        <w:trPr>
          <w:trHeight w:val="315" w:hRule="atLeast"/>
          <w:jc w:val="center"/>
        </w:trPr>
        <w:tc>
          <w:tcPr>
            <w:tcW w:w="11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3.3.4</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未按规定进行基坑支护变形监测和对毗邻建筑物、重要管线、道路进行沉降观测的</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5000元/次</w:t>
            </w:r>
          </w:p>
        </w:tc>
      </w:tr>
      <w:tr>
        <w:tblPrEx>
          <w:tblLayout w:type="fixed"/>
          <w:tblCellMar>
            <w:top w:w="0" w:type="dxa"/>
            <w:left w:w="0" w:type="dxa"/>
            <w:bottom w:w="0" w:type="dxa"/>
            <w:right w:w="0" w:type="dxa"/>
          </w:tblCellMar>
        </w:tblPrEx>
        <w:trPr>
          <w:trHeight w:val="257" w:hRule="atLeast"/>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3.3.5</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支护设施产生局部变形未采取措施调整的</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1000元/处</w:t>
            </w:r>
          </w:p>
        </w:tc>
      </w:tr>
      <w:tr>
        <w:tblPrEx>
          <w:tblLayout w:type="fixed"/>
          <w:tblCellMar>
            <w:top w:w="0" w:type="dxa"/>
            <w:left w:w="0" w:type="dxa"/>
            <w:bottom w:w="0" w:type="dxa"/>
            <w:right w:w="0" w:type="dxa"/>
          </w:tblCellMar>
        </w:tblPrEx>
        <w:trPr>
          <w:trHeight w:val="240" w:hRule="atLeast"/>
          <w:jc w:val="center"/>
        </w:trPr>
        <w:tc>
          <w:tcPr>
            <w:tcW w:w="11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3.3.6</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基坑施工未设置有效排水措施，或深基础施工采用坑外降水，无防止临近建筑危险沉降措施的</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1000元/次</w:t>
            </w:r>
          </w:p>
        </w:tc>
      </w:tr>
      <w:tr>
        <w:tblPrEx>
          <w:tblLayout w:type="fixed"/>
          <w:tblCellMar>
            <w:top w:w="0" w:type="dxa"/>
            <w:left w:w="0" w:type="dxa"/>
            <w:bottom w:w="0" w:type="dxa"/>
            <w:right w:w="0" w:type="dxa"/>
          </w:tblCellMar>
        </w:tblPrEx>
        <w:trPr>
          <w:trHeight w:val="315" w:hRule="atLeast"/>
          <w:jc w:val="center"/>
        </w:trPr>
        <w:tc>
          <w:tcPr>
            <w:tcW w:w="11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3.3.7</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积土、料具堆放、机械设备施工距槽边距离小于设计规定，又无措施的</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200元/处</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3.3.8</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基坑内作业人员无必要安全防护措施和充足照明的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200元/人、处</w:t>
            </w:r>
          </w:p>
        </w:tc>
      </w:tr>
      <w:tr>
        <w:tblPrEx>
          <w:tblLayout w:type="fixed"/>
          <w:tblCellMar>
            <w:top w:w="0" w:type="dxa"/>
            <w:left w:w="0" w:type="dxa"/>
            <w:bottom w:w="0" w:type="dxa"/>
            <w:right w:w="0" w:type="dxa"/>
          </w:tblCellMar>
        </w:tblPrEx>
        <w:trPr>
          <w:trHeight w:val="245" w:hRule="atLeast"/>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3.3.9</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支模架施工未按施工专项方案实施的</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500元/处</w:t>
            </w:r>
          </w:p>
        </w:tc>
      </w:tr>
      <w:tr>
        <w:tblPrEx>
          <w:tblLayout w:type="fixed"/>
          <w:tblCellMar>
            <w:top w:w="0" w:type="dxa"/>
            <w:left w:w="0" w:type="dxa"/>
            <w:bottom w:w="0" w:type="dxa"/>
            <w:right w:w="0" w:type="dxa"/>
          </w:tblCellMar>
        </w:tblPrEx>
        <w:trPr>
          <w:trHeight w:val="340" w:hRule="atLeast"/>
          <w:jc w:val="center"/>
        </w:trPr>
        <w:tc>
          <w:tcPr>
            <w:tcW w:w="11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3.3.10</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临边无防护措施，防护设施不规范或有空档、超过间隙的</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200元/处</w:t>
            </w:r>
          </w:p>
        </w:tc>
      </w:tr>
      <w:tr>
        <w:tblPrEx>
          <w:tblLayout w:type="fixed"/>
          <w:tblCellMar>
            <w:top w:w="0" w:type="dxa"/>
            <w:left w:w="0" w:type="dxa"/>
            <w:bottom w:w="0" w:type="dxa"/>
            <w:right w:w="0" w:type="dxa"/>
          </w:tblCellMar>
        </w:tblPrEx>
        <w:trPr>
          <w:trHeight w:val="285" w:hRule="atLeast"/>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3.3.11</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高处作业不按规定设置防坠网或防坠网规格、材质、覆盖面积不符合要求的</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500元/处</w:t>
            </w:r>
          </w:p>
        </w:tc>
      </w:tr>
      <w:tr>
        <w:tblPrEx>
          <w:tblLayout w:type="fixed"/>
          <w:tblCellMar>
            <w:top w:w="0" w:type="dxa"/>
            <w:left w:w="0" w:type="dxa"/>
            <w:bottom w:w="0" w:type="dxa"/>
            <w:right w:w="0" w:type="dxa"/>
          </w:tblCellMar>
        </w:tblPrEx>
        <w:trPr>
          <w:trHeight w:val="299" w:hRule="atLeast"/>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3.3.12</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各种洞（井）口、梯口、通道口无防护措施，防护措施不符合要求或不严密，未形成定型化、工具化的</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200元/处</w:t>
            </w:r>
          </w:p>
        </w:tc>
      </w:tr>
      <w:tr>
        <w:tblPrEx>
          <w:tblLayout w:type="fixed"/>
          <w:tblCellMar>
            <w:top w:w="0" w:type="dxa"/>
            <w:left w:w="0" w:type="dxa"/>
            <w:bottom w:w="0" w:type="dxa"/>
            <w:right w:w="0" w:type="dxa"/>
          </w:tblCellMar>
        </w:tblPrEx>
        <w:trPr>
          <w:trHeight w:val="299" w:hRule="atLeast"/>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3.3.13</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电梯井不封闭，电梯井内每隔两层(不大于l0m)少一道平网的</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500元/处</w:t>
            </w:r>
          </w:p>
        </w:tc>
      </w:tr>
      <w:tr>
        <w:tblPrEx>
          <w:tblLayout w:type="fixed"/>
          <w:tblCellMar>
            <w:top w:w="0" w:type="dxa"/>
            <w:left w:w="0" w:type="dxa"/>
            <w:bottom w:w="0" w:type="dxa"/>
            <w:right w:w="0" w:type="dxa"/>
          </w:tblCellMar>
        </w:tblPrEx>
        <w:trPr>
          <w:trHeight w:val="209" w:hRule="atLeast"/>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3.3.14</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通道口无防护棚，通道口防护不严或防护棚不牢固、材质不符合要求的</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200元/处</w:t>
            </w:r>
          </w:p>
        </w:tc>
      </w:tr>
      <w:tr>
        <w:tblPrEx>
          <w:tblLayout w:type="fixed"/>
          <w:tblCellMar>
            <w:top w:w="0" w:type="dxa"/>
            <w:left w:w="0" w:type="dxa"/>
            <w:bottom w:w="0" w:type="dxa"/>
            <w:right w:w="0" w:type="dxa"/>
          </w:tblCellMar>
        </w:tblPrEx>
        <w:trPr>
          <w:trHeight w:val="326" w:hRule="atLeast"/>
          <w:jc w:val="center"/>
        </w:trPr>
        <w:tc>
          <w:tcPr>
            <w:tcW w:w="11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3.3.15</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脚手架、升降、吊装等设施设备的拆装队伍没有取得资格证书的</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500元/个</w:t>
            </w:r>
          </w:p>
        </w:tc>
      </w:tr>
      <w:tr>
        <w:tblPrEx>
          <w:tblLayout w:type="fixed"/>
          <w:tblCellMar>
            <w:top w:w="0" w:type="dxa"/>
            <w:left w:w="0" w:type="dxa"/>
            <w:bottom w:w="0" w:type="dxa"/>
            <w:right w:w="0" w:type="dxa"/>
          </w:tblCellMar>
        </w:tblPrEx>
        <w:trPr>
          <w:trHeight w:val="245" w:hRule="atLeast"/>
          <w:jc w:val="center"/>
        </w:trPr>
        <w:tc>
          <w:tcPr>
            <w:tcW w:w="11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3.3.16</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脚手架、脚手板等不按要求搭设，空隙过大或材质不符合要求的</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500元/处</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3.3.17</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安全密目网不牢固、不严密或材质、设置不符合要求的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200元/处</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3.3.18</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脚手架超载或荷载不均匀、堆放杂物或垃圾清理不及时的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200元/处</w:t>
            </w:r>
          </w:p>
        </w:tc>
      </w:tr>
      <w:tr>
        <w:tblPrEx>
          <w:tblLayout w:type="fixed"/>
          <w:tblCellMar>
            <w:top w:w="0" w:type="dxa"/>
            <w:left w:w="0" w:type="dxa"/>
            <w:bottom w:w="0" w:type="dxa"/>
            <w:right w:w="0" w:type="dxa"/>
          </w:tblCellMar>
        </w:tblPrEx>
        <w:trPr>
          <w:trHeight w:val="271" w:hRule="atLeast"/>
          <w:jc w:val="center"/>
        </w:trPr>
        <w:tc>
          <w:tcPr>
            <w:tcW w:w="11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3.3.19</w:t>
            </w:r>
          </w:p>
        </w:tc>
        <w:tc>
          <w:tcPr>
            <w:tcW w:w="63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未设专用通道或通道设置不符合要求的</w:t>
            </w:r>
          </w:p>
        </w:tc>
        <w:tc>
          <w:tcPr>
            <w:tcW w:w="88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200元/处</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3.3.20</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脚手架拆卸时不实行区域隔离，无专人看护等保护性安全措施的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200元/次</w:t>
            </w:r>
          </w:p>
        </w:tc>
      </w:tr>
      <w:tr>
        <w:tblPrEx>
          <w:tblLayout w:type="fixed"/>
          <w:tblCellMar>
            <w:top w:w="0" w:type="dxa"/>
            <w:left w:w="0" w:type="dxa"/>
            <w:bottom w:w="0" w:type="dxa"/>
            <w:right w:w="0" w:type="dxa"/>
          </w:tblCellMar>
        </w:tblPrEx>
        <w:trPr>
          <w:trHeight w:val="298" w:hRule="atLeast"/>
          <w:jc w:val="center"/>
        </w:trPr>
        <w:tc>
          <w:tcPr>
            <w:tcW w:w="11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3.3.21</w:t>
            </w:r>
          </w:p>
        </w:tc>
        <w:tc>
          <w:tcPr>
            <w:tcW w:w="63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移动脚手架安全措施不到位，存在安全隐患的</w:t>
            </w:r>
          </w:p>
        </w:tc>
        <w:tc>
          <w:tcPr>
            <w:tcW w:w="88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200元/次</w:t>
            </w:r>
          </w:p>
        </w:tc>
      </w:tr>
      <w:tr>
        <w:tblPrEx>
          <w:tblLayout w:type="fixed"/>
          <w:tblCellMar>
            <w:top w:w="0" w:type="dxa"/>
            <w:left w:w="0" w:type="dxa"/>
            <w:bottom w:w="0" w:type="dxa"/>
            <w:right w:w="0" w:type="dxa"/>
          </w:tblCellMar>
        </w:tblPrEx>
        <w:trPr>
          <w:trHeight w:val="315" w:hRule="atLeast"/>
          <w:jc w:val="center"/>
        </w:trPr>
        <w:tc>
          <w:tcPr>
            <w:tcW w:w="11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3.3.22</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卸料台搭设不符合设计要求或不按规范要求搭建的</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200元/处</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3.3.23</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升降、吊装作业未设警戒区、无专业人员指挥、无专人警戒或管理的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100元/处</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3.3.24</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升降、吊装设备无围栏、防护门，无安全警示等安全设施的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300元/处</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3.3.25</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升降、吊装设备无防坠装置或防坠装置不符合设计、规范要求的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200元/处</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3.3.26</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升降、吊装设备钢丝绳绳径倍数不足、磨损、断丝超标，地锚埋没不符合设计要求</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200元/处</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3.3.27</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升降、吊装设备无专人日常维护，未按规定定期检验、检查或检查无记录，检验检查出的问题不及时整改的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3.3.28</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违章操作或违章使用升降、吊装设备，超重作业的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3.3.29</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移动式吊装装置不符合设计、方案和规范要求，存在安全隐患的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500元/处</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3.3.30</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钢丝绳、绳卡、地锚等不符合规范和安全要求,或钢丝绳锈蚀、缺油、磨损超标的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200元/处</w:t>
            </w:r>
          </w:p>
        </w:tc>
      </w:tr>
      <w:tr>
        <w:tblPrEx>
          <w:tblLayout w:type="fixed"/>
          <w:tblCellMar>
            <w:top w:w="0" w:type="dxa"/>
            <w:left w:w="0" w:type="dxa"/>
            <w:bottom w:w="0" w:type="dxa"/>
            <w:right w:w="0" w:type="dxa"/>
          </w:tblCellMar>
        </w:tblPrEx>
        <w:trPr>
          <w:trHeight w:val="340" w:hRule="atLeast"/>
          <w:jc w:val="center"/>
        </w:trPr>
        <w:tc>
          <w:tcPr>
            <w:tcW w:w="11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3.3.31</w:t>
            </w:r>
          </w:p>
        </w:tc>
        <w:tc>
          <w:tcPr>
            <w:tcW w:w="63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无防风、避雷装置和措施，或防风避雷装置措施不符合要求的</w:t>
            </w:r>
          </w:p>
        </w:tc>
        <w:tc>
          <w:tcPr>
            <w:tcW w:w="88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200元/处</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3.3.32</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各类用电设施、设备、施工机具未做保护接零、无漏电保护装置的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500元/处</w:t>
            </w:r>
          </w:p>
        </w:tc>
      </w:tr>
      <w:tr>
        <w:tblPrEx>
          <w:tblLayout w:type="fixed"/>
          <w:tblCellMar>
            <w:top w:w="0" w:type="dxa"/>
            <w:left w:w="0" w:type="dxa"/>
            <w:bottom w:w="0" w:type="dxa"/>
            <w:right w:w="0" w:type="dxa"/>
          </w:tblCellMar>
        </w:tblPrEx>
        <w:trPr>
          <w:trHeight w:val="70" w:hRule="atLeast"/>
          <w:jc w:val="center"/>
        </w:trPr>
        <w:tc>
          <w:tcPr>
            <w:tcW w:w="11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3.3.33</w:t>
            </w:r>
          </w:p>
        </w:tc>
        <w:tc>
          <w:tcPr>
            <w:tcW w:w="63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机具、设备使用无安全防护装置或保险装置的</w:t>
            </w:r>
          </w:p>
        </w:tc>
        <w:tc>
          <w:tcPr>
            <w:tcW w:w="88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500元/项</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3.3.34</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使用Ⅰ类手持电动工具不按规定穿戴绝缘用品的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200元/人</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3.3.35</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施工机具无人操作时未切断电源的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200元/处</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3.3.36</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电焊机无防雨罩的，焊把线接头超过3处或绝缘老化的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100元/处</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3.3.37</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各机械作业场所无防雨棚和作业台不安全的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100元/处</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3.4</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现场安全管理</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djustRightInd w:val="0"/>
              <w:snapToGrid w:val="0"/>
              <w:spacing w:line="560" w:lineRule="exact"/>
              <w:rPr>
                <w:rFonts w:ascii="仿宋_GB2312" w:hAnsi="仿宋_GB2312" w:eastAsia="仿宋_GB2312" w:cs="仿宋_GB2312"/>
                <w:b/>
                <w:color w:val="auto"/>
                <w:sz w:val="28"/>
                <w:szCs w:val="28"/>
              </w:rPr>
            </w:pP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3.4.1</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各类操作人员无证上岗的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300元/人、次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3.4.2</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专业性较强、危险性较大施工作业，现场无专业人员、安全管理人员旁站看护的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widowControl/>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3.4.3</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作业人员不服管理、违反规章制度和操作规程冒险作业的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widowControl/>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3.4.4</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施工人员不戴安全帽、高处作业人员不系安全带或不按要求系安全带</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200元/人</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3.4.5</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现场未按规定采取设置安全网等保障措施的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200元/处</w:t>
            </w:r>
          </w:p>
        </w:tc>
      </w:tr>
      <w:tr>
        <w:tblPrEx>
          <w:tblLayout w:type="fixed"/>
          <w:tblCellMar>
            <w:top w:w="0" w:type="dxa"/>
            <w:left w:w="0" w:type="dxa"/>
            <w:bottom w:w="0" w:type="dxa"/>
            <w:right w:w="0" w:type="dxa"/>
          </w:tblCellMar>
        </w:tblPrEx>
        <w:trPr>
          <w:trHeight w:val="315" w:hRule="atLeast"/>
          <w:jc w:val="center"/>
        </w:trPr>
        <w:tc>
          <w:tcPr>
            <w:tcW w:w="11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3.4.6</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施工人员在施工现场抽烟的</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50元/人</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b/>
                <w:color w:val="auto"/>
                <w:sz w:val="28"/>
                <w:szCs w:val="28"/>
              </w:rPr>
            </w:pPr>
            <w:r>
              <w:rPr>
                <w:rFonts w:hint="eastAsia" w:ascii="仿宋_GB2312" w:hAnsi="仿宋_GB2312" w:eastAsia="仿宋_GB2312" w:cs="仿宋_GB2312"/>
                <w:color w:val="auto"/>
                <w:sz w:val="28"/>
                <w:szCs w:val="28"/>
              </w:rPr>
              <w:t>3</w:t>
            </w:r>
            <w:r>
              <w:rPr>
                <w:rFonts w:hint="eastAsia" w:ascii="仿宋_GB2312" w:hAnsi="仿宋_GB2312" w:eastAsia="仿宋_GB2312" w:cs="仿宋_GB2312"/>
                <w:b/>
                <w:color w:val="auto"/>
                <w:sz w:val="28"/>
                <w:szCs w:val="28"/>
              </w:rPr>
              <w:t>.5</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施工用电</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b/>
                <w:color w:val="auto"/>
                <w:sz w:val="28"/>
                <w:szCs w:val="28"/>
              </w:rPr>
            </w:pP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p>
        </w:tc>
      </w:tr>
      <w:tr>
        <w:tblPrEx>
          <w:tblLayout w:type="fixed"/>
          <w:tblCellMar>
            <w:top w:w="0" w:type="dxa"/>
            <w:left w:w="0" w:type="dxa"/>
            <w:bottom w:w="0" w:type="dxa"/>
            <w:right w:w="0" w:type="dxa"/>
          </w:tblCellMar>
        </w:tblPrEx>
        <w:trPr>
          <w:trHeight w:val="249" w:hRule="atLeast"/>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3.5.1</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外电小于安全距离无防护措施、防护措施不符合要求的</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1000元/处</w:t>
            </w:r>
          </w:p>
        </w:tc>
      </w:tr>
      <w:tr>
        <w:tblPrEx>
          <w:tblLayout w:type="fixed"/>
          <w:tblCellMar>
            <w:top w:w="0" w:type="dxa"/>
            <w:left w:w="0" w:type="dxa"/>
            <w:bottom w:w="0" w:type="dxa"/>
            <w:right w:w="0" w:type="dxa"/>
          </w:tblCellMar>
        </w:tblPrEx>
        <w:trPr>
          <w:trHeight w:val="231" w:hRule="atLeast"/>
          <w:jc w:val="center"/>
        </w:trPr>
        <w:tc>
          <w:tcPr>
            <w:tcW w:w="11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3.5.2</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未采用TN—S接零保护系统的、三级漏电保护系统的；专用保护零线（PE线）设置不符合要求的、或保护零线（PE线）与工作零线（N线）混接的；纯动力电未用四芯电缆的，动力带照明电未使用五芯电缆的</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200元/处</w:t>
            </w:r>
          </w:p>
        </w:tc>
      </w:tr>
      <w:tr>
        <w:tblPrEx>
          <w:tblLayout w:type="fixed"/>
          <w:tblCellMar>
            <w:top w:w="0" w:type="dxa"/>
            <w:left w:w="0" w:type="dxa"/>
            <w:bottom w:w="0" w:type="dxa"/>
            <w:right w:w="0" w:type="dxa"/>
          </w:tblCellMar>
        </w:tblPrEx>
        <w:trPr>
          <w:trHeight w:val="285" w:hRule="atLeast"/>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3.5.3</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开关箱(末级)无漏电保护或保护器失灵、漏电保护装置参数不匹配</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500元/处</w:t>
            </w:r>
          </w:p>
        </w:tc>
      </w:tr>
      <w:tr>
        <w:tblPrEx>
          <w:tblLayout w:type="fixed"/>
          <w:tblCellMar>
            <w:top w:w="0" w:type="dxa"/>
            <w:left w:w="0" w:type="dxa"/>
            <w:bottom w:w="0" w:type="dxa"/>
            <w:right w:w="0" w:type="dxa"/>
          </w:tblCellMar>
        </w:tblPrEx>
        <w:trPr>
          <w:trHeight w:val="271" w:hRule="atLeast"/>
          <w:jc w:val="center"/>
        </w:trPr>
        <w:tc>
          <w:tcPr>
            <w:tcW w:w="11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3.5.4</w:t>
            </w:r>
          </w:p>
        </w:tc>
        <w:tc>
          <w:tcPr>
            <w:tcW w:w="63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违反“—机、一闸、一漏、一箱”的配置原则</w:t>
            </w:r>
          </w:p>
        </w:tc>
        <w:tc>
          <w:tcPr>
            <w:tcW w:w="88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500元/处</w:t>
            </w:r>
          </w:p>
        </w:tc>
      </w:tr>
      <w:tr>
        <w:tblPrEx>
          <w:tblLayout w:type="fixed"/>
          <w:tblCellMar>
            <w:top w:w="0" w:type="dxa"/>
            <w:left w:w="0" w:type="dxa"/>
            <w:bottom w:w="0" w:type="dxa"/>
            <w:right w:w="0" w:type="dxa"/>
          </w:tblCellMar>
        </w:tblPrEx>
        <w:trPr>
          <w:trHeight w:val="271" w:hRule="atLeast"/>
          <w:jc w:val="center"/>
        </w:trPr>
        <w:tc>
          <w:tcPr>
            <w:tcW w:w="11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3.5.5</w:t>
            </w:r>
          </w:p>
        </w:tc>
        <w:tc>
          <w:tcPr>
            <w:tcW w:w="63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安装位置不当、周围杂物多不便操作、存在安全隐患</w:t>
            </w:r>
          </w:p>
        </w:tc>
        <w:tc>
          <w:tcPr>
            <w:tcW w:w="88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200元/处</w:t>
            </w:r>
          </w:p>
        </w:tc>
      </w:tr>
      <w:tr>
        <w:tblPrEx>
          <w:tblLayout w:type="fixed"/>
          <w:tblCellMar>
            <w:top w:w="0" w:type="dxa"/>
            <w:left w:w="0" w:type="dxa"/>
            <w:bottom w:w="0" w:type="dxa"/>
            <w:right w:w="0" w:type="dxa"/>
          </w:tblCellMar>
        </w:tblPrEx>
        <w:trPr>
          <w:trHeight w:val="340" w:hRule="atLeast"/>
          <w:jc w:val="center"/>
        </w:trPr>
        <w:tc>
          <w:tcPr>
            <w:tcW w:w="11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3.5.6</w:t>
            </w:r>
          </w:p>
        </w:tc>
        <w:tc>
          <w:tcPr>
            <w:tcW w:w="63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电箱下引出线混乱、配电箱内多路配电无标记的</w:t>
            </w:r>
          </w:p>
        </w:tc>
        <w:tc>
          <w:tcPr>
            <w:tcW w:w="88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200元/处</w:t>
            </w:r>
          </w:p>
        </w:tc>
      </w:tr>
      <w:tr>
        <w:tblPrEx>
          <w:tblLayout w:type="fixed"/>
          <w:tblCellMar>
            <w:top w:w="0" w:type="dxa"/>
            <w:left w:w="0" w:type="dxa"/>
            <w:bottom w:w="0" w:type="dxa"/>
            <w:right w:w="0" w:type="dxa"/>
          </w:tblCellMar>
        </w:tblPrEx>
        <w:trPr>
          <w:trHeight w:val="299" w:hRule="atLeast"/>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3.5.7</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电箱无门、无锁、无防雨措施或无责任人的</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widowControl/>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300元/处</w:t>
            </w:r>
          </w:p>
        </w:tc>
      </w:tr>
      <w:tr>
        <w:tblPrEx>
          <w:tblLayout w:type="fixed"/>
          <w:tblCellMar>
            <w:top w:w="0" w:type="dxa"/>
            <w:left w:w="0" w:type="dxa"/>
            <w:bottom w:w="0" w:type="dxa"/>
            <w:right w:w="0" w:type="dxa"/>
          </w:tblCellMar>
        </w:tblPrEx>
        <w:trPr>
          <w:trHeight w:val="285" w:hRule="atLeast"/>
          <w:jc w:val="center"/>
        </w:trPr>
        <w:tc>
          <w:tcPr>
            <w:tcW w:w="11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3.5.8</w:t>
            </w:r>
          </w:p>
        </w:tc>
        <w:tc>
          <w:tcPr>
            <w:tcW w:w="63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室内线路及灯具安全高度低于2.4m未使用安全电压供电的</w:t>
            </w:r>
          </w:p>
        </w:tc>
        <w:tc>
          <w:tcPr>
            <w:tcW w:w="88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200元/处</w:t>
            </w:r>
          </w:p>
        </w:tc>
      </w:tr>
      <w:tr>
        <w:tblPrEx>
          <w:tblLayout w:type="fixed"/>
          <w:tblCellMar>
            <w:top w:w="0" w:type="dxa"/>
            <w:left w:w="0" w:type="dxa"/>
            <w:bottom w:w="0" w:type="dxa"/>
            <w:right w:w="0" w:type="dxa"/>
          </w:tblCellMar>
        </w:tblPrEx>
        <w:trPr>
          <w:trHeight w:val="326" w:hRule="atLeast"/>
          <w:jc w:val="center"/>
        </w:trPr>
        <w:tc>
          <w:tcPr>
            <w:tcW w:w="11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3.5.9</w:t>
            </w:r>
          </w:p>
        </w:tc>
        <w:tc>
          <w:tcPr>
            <w:tcW w:w="63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潮湿作业环境中未使用36v以下安全电压照明灯具的、手持照明灯未使用36v及以下电源供电</w:t>
            </w:r>
          </w:p>
        </w:tc>
        <w:tc>
          <w:tcPr>
            <w:tcW w:w="88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200元/处</w:t>
            </w:r>
          </w:p>
        </w:tc>
      </w:tr>
      <w:tr>
        <w:tblPrEx>
          <w:tblLayout w:type="fixed"/>
          <w:tblCellMar>
            <w:top w:w="0" w:type="dxa"/>
            <w:left w:w="0" w:type="dxa"/>
            <w:bottom w:w="0" w:type="dxa"/>
            <w:right w:w="0" w:type="dxa"/>
          </w:tblCellMar>
        </w:tblPrEx>
        <w:trPr>
          <w:trHeight w:val="258" w:hRule="atLeast"/>
          <w:jc w:val="center"/>
        </w:trPr>
        <w:tc>
          <w:tcPr>
            <w:tcW w:w="11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3.5.10</w:t>
            </w:r>
          </w:p>
        </w:tc>
        <w:tc>
          <w:tcPr>
            <w:tcW w:w="63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电线老化、破皮、未按规范包扎的、电线私拉乱接、无过路保护的</w:t>
            </w:r>
          </w:p>
        </w:tc>
        <w:tc>
          <w:tcPr>
            <w:tcW w:w="88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500元/处</w:t>
            </w:r>
          </w:p>
        </w:tc>
      </w:tr>
      <w:tr>
        <w:tblPrEx>
          <w:tblLayout w:type="fixed"/>
          <w:tblCellMar>
            <w:top w:w="0" w:type="dxa"/>
            <w:left w:w="0" w:type="dxa"/>
            <w:bottom w:w="0" w:type="dxa"/>
            <w:right w:w="0" w:type="dxa"/>
          </w:tblCellMar>
        </w:tblPrEx>
        <w:trPr>
          <w:trHeight w:val="353" w:hRule="atLeast"/>
          <w:jc w:val="center"/>
        </w:trPr>
        <w:tc>
          <w:tcPr>
            <w:tcW w:w="11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3.5.11</w:t>
            </w:r>
          </w:p>
        </w:tc>
        <w:tc>
          <w:tcPr>
            <w:tcW w:w="63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电杆、横担、架空线路不符合施工规范要求</w:t>
            </w:r>
          </w:p>
        </w:tc>
        <w:tc>
          <w:tcPr>
            <w:tcW w:w="88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200元/处</w:t>
            </w:r>
          </w:p>
        </w:tc>
      </w:tr>
      <w:tr>
        <w:tblPrEx>
          <w:tblLayout w:type="fixed"/>
          <w:tblCellMar>
            <w:top w:w="0" w:type="dxa"/>
            <w:left w:w="0" w:type="dxa"/>
            <w:bottom w:w="0" w:type="dxa"/>
            <w:right w:w="0" w:type="dxa"/>
          </w:tblCellMar>
        </w:tblPrEx>
        <w:trPr>
          <w:trHeight w:val="367" w:hRule="atLeast"/>
          <w:jc w:val="center"/>
        </w:trPr>
        <w:tc>
          <w:tcPr>
            <w:tcW w:w="11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3.5.12</w:t>
            </w:r>
          </w:p>
        </w:tc>
        <w:tc>
          <w:tcPr>
            <w:tcW w:w="63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无用电管理档案、无接地极阻值摇测记录、电工巡视维修记录或填写不真实的</w:t>
            </w:r>
          </w:p>
        </w:tc>
        <w:tc>
          <w:tcPr>
            <w:tcW w:w="88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200元/项</w:t>
            </w:r>
          </w:p>
        </w:tc>
      </w:tr>
      <w:tr>
        <w:tblPrEx>
          <w:tblLayout w:type="fixed"/>
          <w:tblCellMar>
            <w:top w:w="0" w:type="dxa"/>
            <w:left w:w="0" w:type="dxa"/>
            <w:bottom w:w="0" w:type="dxa"/>
            <w:right w:w="0" w:type="dxa"/>
          </w:tblCellMar>
        </w:tblPrEx>
        <w:trPr>
          <w:trHeight w:val="312" w:hRule="atLeast"/>
          <w:jc w:val="center"/>
        </w:trPr>
        <w:tc>
          <w:tcPr>
            <w:tcW w:w="11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4</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消防安全与危险品管理</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p>
        </w:tc>
      </w:tr>
      <w:tr>
        <w:tblPrEx>
          <w:tblLayout w:type="fixed"/>
          <w:tblCellMar>
            <w:top w:w="0" w:type="dxa"/>
            <w:left w:w="0" w:type="dxa"/>
            <w:bottom w:w="0" w:type="dxa"/>
            <w:right w:w="0" w:type="dxa"/>
          </w:tblCellMar>
        </w:tblPrEx>
        <w:trPr>
          <w:trHeight w:val="315" w:hRule="atLeast"/>
          <w:jc w:val="center"/>
        </w:trPr>
        <w:tc>
          <w:tcPr>
            <w:tcW w:w="11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4.1</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未制定消防安全管理规章制度或规章制度不健全的</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500元/项</w:t>
            </w:r>
          </w:p>
        </w:tc>
      </w:tr>
      <w:tr>
        <w:tblPrEx>
          <w:tblLayout w:type="fixed"/>
          <w:tblCellMar>
            <w:top w:w="0" w:type="dxa"/>
            <w:left w:w="0" w:type="dxa"/>
            <w:bottom w:w="0" w:type="dxa"/>
            <w:right w:w="0" w:type="dxa"/>
          </w:tblCellMar>
        </w:tblPrEx>
        <w:trPr>
          <w:trHeight w:val="315" w:hRule="atLeast"/>
          <w:jc w:val="center"/>
        </w:trPr>
        <w:tc>
          <w:tcPr>
            <w:tcW w:w="11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4.2</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未制定各工种用火、用电、使用易燃材料等各项消防安全操作规程的</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500元/项</w:t>
            </w:r>
          </w:p>
        </w:tc>
      </w:tr>
      <w:tr>
        <w:tblPrEx>
          <w:tblLayout w:type="fixed"/>
          <w:tblCellMar>
            <w:top w:w="0" w:type="dxa"/>
            <w:left w:w="0" w:type="dxa"/>
            <w:bottom w:w="0" w:type="dxa"/>
            <w:right w:w="0" w:type="dxa"/>
          </w:tblCellMar>
        </w:tblPrEx>
        <w:trPr>
          <w:trHeight w:val="315" w:hRule="atLeast"/>
          <w:jc w:val="center"/>
        </w:trPr>
        <w:tc>
          <w:tcPr>
            <w:tcW w:w="11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4.3</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未健全消防安全网络（配备专职或兼职消防员），并报备的</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200元/项</w:t>
            </w:r>
          </w:p>
        </w:tc>
      </w:tr>
      <w:tr>
        <w:tblPrEx>
          <w:tblLayout w:type="fixed"/>
          <w:tblCellMar>
            <w:top w:w="0" w:type="dxa"/>
            <w:left w:w="0" w:type="dxa"/>
            <w:bottom w:w="0" w:type="dxa"/>
            <w:right w:w="0" w:type="dxa"/>
          </w:tblCellMar>
        </w:tblPrEx>
        <w:trPr>
          <w:trHeight w:val="315" w:hRule="atLeast"/>
          <w:jc w:val="center"/>
        </w:trPr>
        <w:tc>
          <w:tcPr>
            <w:tcW w:w="11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4.4</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无专（兼）职义务消防队，或消防队员未掌握基本消防知识和操作技能的</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200元/项</w:t>
            </w:r>
          </w:p>
        </w:tc>
      </w:tr>
      <w:tr>
        <w:tblPrEx>
          <w:tblLayout w:type="fixed"/>
          <w:tblCellMar>
            <w:top w:w="0" w:type="dxa"/>
            <w:left w:w="0" w:type="dxa"/>
            <w:bottom w:w="0" w:type="dxa"/>
            <w:right w:w="0" w:type="dxa"/>
          </w:tblCellMar>
        </w:tblPrEx>
        <w:trPr>
          <w:trHeight w:val="315" w:hRule="atLeast"/>
          <w:jc w:val="center"/>
        </w:trPr>
        <w:tc>
          <w:tcPr>
            <w:tcW w:w="11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4.5</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未制定灭火和应急疏散预案并开展消防应急演练的</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500元/项</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4.6</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未组织开展各类防火检查，并及时采取措施整改发现的隐患、问题的</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200元/项</w:t>
            </w:r>
          </w:p>
        </w:tc>
      </w:tr>
      <w:tr>
        <w:tblPrEx>
          <w:tblLayout w:type="fixed"/>
          <w:tblCellMar>
            <w:top w:w="0" w:type="dxa"/>
            <w:left w:w="0" w:type="dxa"/>
            <w:bottom w:w="0" w:type="dxa"/>
            <w:right w:w="0" w:type="dxa"/>
          </w:tblCellMar>
        </w:tblPrEx>
        <w:trPr>
          <w:trHeight w:val="315" w:hRule="atLeast"/>
          <w:jc w:val="center"/>
        </w:trPr>
        <w:tc>
          <w:tcPr>
            <w:tcW w:w="11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4.7</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对重大消防安全隐患未能及时整改、处理的</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500元/次</w:t>
            </w:r>
          </w:p>
        </w:tc>
      </w:tr>
      <w:tr>
        <w:tblPrEx>
          <w:tblLayout w:type="fixed"/>
          <w:tblCellMar>
            <w:top w:w="0" w:type="dxa"/>
            <w:left w:w="0" w:type="dxa"/>
            <w:bottom w:w="0" w:type="dxa"/>
            <w:right w:w="0" w:type="dxa"/>
          </w:tblCellMar>
        </w:tblPrEx>
        <w:trPr>
          <w:trHeight w:val="315" w:hRule="atLeast"/>
          <w:jc w:val="center"/>
        </w:trPr>
        <w:tc>
          <w:tcPr>
            <w:tcW w:w="11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4.8</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未建立消防安全管理台帐或台帐缺失的</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200元/项</w:t>
            </w:r>
          </w:p>
        </w:tc>
      </w:tr>
      <w:tr>
        <w:tblPrEx>
          <w:tblLayout w:type="fixed"/>
          <w:tblCellMar>
            <w:top w:w="0" w:type="dxa"/>
            <w:left w:w="0" w:type="dxa"/>
            <w:bottom w:w="0" w:type="dxa"/>
            <w:right w:w="0" w:type="dxa"/>
          </w:tblCellMar>
        </w:tblPrEx>
        <w:trPr>
          <w:trHeight w:val="315" w:hRule="atLeast"/>
          <w:jc w:val="center"/>
        </w:trPr>
        <w:tc>
          <w:tcPr>
            <w:tcW w:w="11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4.9</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未组织开展消防安全知识教育培训，施工人员不了解本岗位防火措施、遇险报警、初期扑救及自救逃生的知识和技能的</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200元/次</w:t>
            </w:r>
          </w:p>
        </w:tc>
      </w:tr>
      <w:tr>
        <w:tblPrEx>
          <w:tblLayout w:type="fixed"/>
          <w:tblCellMar>
            <w:top w:w="0" w:type="dxa"/>
            <w:left w:w="0" w:type="dxa"/>
            <w:bottom w:w="0" w:type="dxa"/>
            <w:right w:w="0" w:type="dxa"/>
          </w:tblCellMar>
        </w:tblPrEx>
        <w:trPr>
          <w:trHeight w:val="315" w:hRule="atLeast"/>
          <w:jc w:val="center"/>
        </w:trPr>
        <w:tc>
          <w:tcPr>
            <w:tcW w:w="11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4.10</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施工现场未设置必要足够安全疏散指示标志、防火禁烟标志机场火警电话的</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200元/项</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4.11</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重点消防部位无人看护或巡视、无消防警示标志牌，值守巡视人员脱岗或不履行职责的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300元/处</w:t>
            </w:r>
          </w:p>
        </w:tc>
      </w:tr>
      <w:tr>
        <w:tblPrEx>
          <w:tblLayout w:type="fixed"/>
          <w:tblCellMar>
            <w:top w:w="0" w:type="dxa"/>
            <w:left w:w="0" w:type="dxa"/>
            <w:bottom w:w="0" w:type="dxa"/>
            <w:right w:w="0" w:type="dxa"/>
          </w:tblCellMar>
        </w:tblPrEx>
        <w:trPr>
          <w:trHeight w:val="315" w:hRule="atLeast"/>
          <w:jc w:val="center"/>
        </w:trPr>
        <w:tc>
          <w:tcPr>
            <w:tcW w:w="11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4.12</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易燃、易爆物品不按规定进行分类存放或管理不善、无人看护、管理的</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500元/处</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4.13</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未设或侵占疏散通道、安全出口、消防通道，或通道出口不畅通、应急照明不符合规定的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500元/处</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4.14</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工地现场未设置消火水源（消火栓）或消火水源不齐全、不合理，不能满足消防要求的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500元/处</w:t>
            </w:r>
          </w:p>
        </w:tc>
      </w:tr>
      <w:tr>
        <w:tblPrEx>
          <w:tblLayout w:type="fixed"/>
          <w:tblCellMar>
            <w:top w:w="0" w:type="dxa"/>
            <w:left w:w="0" w:type="dxa"/>
            <w:bottom w:w="0" w:type="dxa"/>
            <w:right w:w="0" w:type="dxa"/>
          </w:tblCellMar>
        </w:tblPrEx>
        <w:trPr>
          <w:trHeight w:val="300" w:hRule="atLeast"/>
          <w:jc w:val="center"/>
        </w:trPr>
        <w:tc>
          <w:tcPr>
            <w:tcW w:w="11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4.15</w:t>
            </w:r>
          </w:p>
        </w:tc>
        <w:tc>
          <w:tcPr>
            <w:tcW w:w="63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工地现场灭火器、灭火砂、水桶、铁锹等消防设施、器材配置不全、不足、失效，或被遮挡影响使用，或被挪作他用的</w:t>
            </w:r>
          </w:p>
        </w:tc>
        <w:tc>
          <w:tcPr>
            <w:tcW w:w="88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300元/处</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4.16</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灭火器材无专人维护、保养、检查和登记管理的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200元/项</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4.17</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违章关闭消防设施、切断电源或挪用消防灭火器材的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500元/处</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4.18</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动火作业未经机场公安消防管理部门审查批准的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200元/次</w:t>
            </w:r>
          </w:p>
        </w:tc>
      </w:tr>
      <w:tr>
        <w:tblPrEx>
          <w:tblLayout w:type="fixed"/>
          <w:tblCellMar>
            <w:top w:w="0" w:type="dxa"/>
            <w:left w:w="0" w:type="dxa"/>
            <w:bottom w:w="0" w:type="dxa"/>
            <w:right w:w="0" w:type="dxa"/>
          </w:tblCellMar>
        </w:tblPrEx>
        <w:trPr>
          <w:trHeight w:val="326" w:hRule="atLeast"/>
          <w:jc w:val="center"/>
        </w:trPr>
        <w:tc>
          <w:tcPr>
            <w:tcW w:w="11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4.19</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施工现场未及时清理地面可燃物，动火作业未清理地面可燃物的</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500元/处、次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4.20</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动火作业无接火盆、现场无看火人、灭火器材配备不足、过期、失效的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200元/处、项</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4.21</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动火作业火花隔层溅落未采取有效安全措施的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200元/处</w:t>
            </w:r>
          </w:p>
        </w:tc>
      </w:tr>
      <w:tr>
        <w:tblPrEx>
          <w:tblLayout w:type="fixed"/>
          <w:tblCellMar>
            <w:top w:w="0" w:type="dxa"/>
            <w:left w:w="0" w:type="dxa"/>
            <w:bottom w:w="0" w:type="dxa"/>
            <w:right w:w="0" w:type="dxa"/>
          </w:tblCellMar>
        </w:tblPrEx>
        <w:trPr>
          <w:trHeight w:val="315" w:hRule="atLeast"/>
          <w:jc w:val="center"/>
        </w:trPr>
        <w:tc>
          <w:tcPr>
            <w:tcW w:w="11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4.22</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气瓶无标准色标，无防震圈和防护帽的</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500元/处</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4.23</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气瓶横放或气瓶间距小于5米、距明火小于10米又无隔离措施的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200元/处</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4.24</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乙炔瓶使用或存放时平放或不按规定存放的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4.25</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发生其它违反国家消防法律法规，消防安全管理规章制度现象的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视情收取违约金</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5</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文明施工</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未编制安全文明施工专项方案</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1000-5000元</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5.2</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未按照规定进行安全文明施工检查并作书面记录</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500-5000元</w:t>
            </w:r>
          </w:p>
        </w:tc>
      </w:tr>
      <w:tr>
        <w:tblPrEx>
          <w:tblLayout w:type="fixed"/>
          <w:tblCellMar>
            <w:top w:w="0" w:type="dxa"/>
            <w:left w:w="0" w:type="dxa"/>
            <w:bottom w:w="0" w:type="dxa"/>
            <w:right w:w="0" w:type="dxa"/>
          </w:tblCellMar>
        </w:tblPrEx>
        <w:trPr>
          <w:trHeight w:val="375" w:hRule="atLeast"/>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5.3</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未按照规定设置施工告示牌、公示牌</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1000-10000元</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5.4</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设置临时通道不符合要求</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5000-30000元</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5.5</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未设置门卫值班室的</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1000-5000元</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5.6</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未按照规定设置围挡的</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2000-10000元</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5.7</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未按照规定对施工现场进行硬化处理、设置通道或者未按照规定设置泥浆沉淀池的</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5000-30000元</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5.8</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未按照规定堆放建筑材料或者废弃物的</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1000-5000元</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5.9</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设置的脚手架、安全网不符合规定要求的</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1000-10000元</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5.10</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未按照规定采取防止扬尘措施的</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2000-10000元</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5.11</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未采取有效的遮蔽措施的</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500-5000元</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5.12</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施工作业中挖损管线的；若再次发生，加倍收取违约金</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1000-5000元</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5.13</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在施工现场焚烧建筑垃圾、生活垃圾以及其他产生有毒有害气体的物质，使用污染严重的燃料或者未按照规定使用农药、化肥的</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200-2000元</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5.14</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未按照规定设置办公、生活用房的</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1000-10000元</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5.15</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未按照规定设置食堂或者制定现场食物中毒应急预案的</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1000-10000元</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5.16</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未在施工现场设置饮用水设施、设置吸烟区不符合规定或者未按照规定设置厕所的</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500元</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5.17</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监理单位未履行安全文明施工监理职责的</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2000-10000元</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6</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临时宿舍管理</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6.1</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宿舍区管理制度不健全，未落实日常管理责任人</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200元/项</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6.2</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宿舍区无专（兼）职治安、防火、卫生管理监督巡视员</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6.3</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宿舍区未实行封闭管理，留宿外来人员无登记制度、存在男女混居现象的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100元/项</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6.4</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在尚未竣工的建筑物内设置临设的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6.5</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临时宿舍、设施未经验收合格投入使用的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6.6</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临时宿舍、设施无抗大风（10级以上）、防雷击措施的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200元/项</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6.7</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宿舍区消防器材配备不足或失效的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6.8</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宿舍内未设置独立的漏电、短路保护器和足够数量的安全插座，存在私拉乱接电线现象的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200元/项</w:t>
            </w:r>
          </w:p>
        </w:tc>
      </w:tr>
      <w:tr>
        <w:tblPrEx>
          <w:tblLayout w:type="fixed"/>
          <w:tblCellMar>
            <w:top w:w="0" w:type="dxa"/>
            <w:left w:w="0" w:type="dxa"/>
            <w:bottom w:w="0" w:type="dxa"/>
            <w:right w:w="0" w:type="dxa"/>
          </w:tblCellMar>
        </w:tblPrEx>
        <w:trPr>
          <w:trHeight w:val="304" w:hRule="atLeast"/>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6.9</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宿舍内（包括值班室）违规使用大功率电器的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300元/处</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6.10</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宿舍内混杂堆放工具、用具、易燃易爆或有毒物品的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500元/处</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6.11</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宿舍内垃圾无人清扫，生活用品放置零乱的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100元/处</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6.12</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无卫生防病宣传教育,或无保健医药箱、急救器材、急救措施和经培训的急救人员的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100元/项</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6.13</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食堂卫生管理制度不全，管理不善，设施不全，卫生不符合要求，未按要求设置足够数量开水炉、电热水器或饮用水保温桶等基本生活设施的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200元/项</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6.14</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宿舍区未提供为作业人员晾晒衣物的场地和设施</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50元/项</w:t>
            </w:r>
          </w:p>
        </w:tc>
      </w:tr>
      <w:tr>
        <w:tblPrEx>
          <w:tblLayout w:type="fixed"/>
          <w:tblCellMar>
            <w:top w:w="0" w:type="dxa"/>
            <w:left w:w="0" w:type="dxa"/>
            <w:bottom w:w="0" w:type="dxa"/>
            <w:right w:w="0" w:type="dxa"/>
          </w:tblCellMar>
        </w:tblPrEx>
        <w:trPr>
          <w:trHeight w:val="330" w:hRule="atLeast"/>
          <w:jc w:val="center"/>
        </w:trPr>
        <w:tc>
          <w:tcPr>
            <w:tcW w:w="11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6.15</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宿舍区未设置水冲式厕所和符合要求淋浴室的</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100元/项</w:t>
            </w:r>
          </w:p>
        </w:tc>
      </w:tr>
      <w:tr>
        <w:tblPrEx>
          <w:tblLayout w:type="fixed"/>
          <w:tblCellMar>
            <w:top w:w="0" w:type="dxa"/>
            <w:left w:w="0" w:type="dxa"/>
            <w:bottom w:w="0" w:type="dxa"/>
            <w:right w:w="0" w:type="dxa"/>
          </w:tblCellMar>
        </w:tblPrEx>
        <w:trPr>
          <w:trHeight w:val="315" w:hRule="atLeast"/>
          <w:jc w:val="center"/>
        </w:trPr>
        <w:tc>
          <w:tcPr>
            <w:tcW w:w="11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6.16</w:t>
            </w:r>
          </w:p>
        </w:tc>
        <w:tc>
          <w:tcPr>
            <w:tcW w:w="63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宿舍生活区未设置施工人员学习娱乐场所的</w:t>
            </w:r>
          </w:p>
        </w:tc>
        <w:tc>
          <w:tcPr>
            <w:tcW w:w="88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100元/项</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6.17</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宿舍区墙壁屋顶不严密、门窗不齐全，或通风效果差的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100元/项</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6.18</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宿舍无保暖、防暑、防蚊虫叮咬措施的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100元/项</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6.19</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宿舍生活区、大门口及周围毗邻区域垃圾未装容器，垃圾清扫、清运不及时、排水不畅，环境卫生不符合要求的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300元/项</w:t>
            </w:r>
          </w:p>
        </w:tc>
      </w:tr>
    </w:tbl>
    <w:p>
      <w:pPr>
        <w:adjustRightInd w:val="0"/>
        <w:snapToGrid w:val="0"/>
        <w:spacing w:line="560" w:lineRule="exact"/>
        <w:ind w:firstLine="440" w:firstLineChars="200"/>
        <w:rPr>
          <w:rFonts w:ascii="宋体" w:hAnsi="宋体" w:cs="仿宋"/>
          <w:color w:val="auto"/>
          <w:sz w:val="22"/>
        </w:rPr>
      </w:pPr>
    </w:p>
    <w:p>
      <w:pPr>
        <w:adjustRightInd w:val="0"/>
        <w:snapToGrid w:val="0"/>
        <w:spacing w:line="560" w:lineRule="exact"/>
        <w:ind w:left="420"/>
        <w:jc w:val="center"/>
        <w:rPr>
          <w:rFonts w:ascii="仿宋_GB2312" w:hAnsi="仿宋_GB2312" w:eastAsia="仿宋_GB2312" w:cs="仿宋_GB2312"/>
          <w:color w:val="auto"/>
          <w:sz w:val="28"/>
          <w:szCs w:val="28"/>
        </w:rPr>
      </w:pPr>
      <w:r>
        <w:rPr>
          <w:rFonts w:hint="eastAsia" w:ascii="宋体" w:hAnsi="宋体" w:cs="仿宋"/>
          <w:color w:val="auto"/>
          <w:sz w:val="22"/>
        </w:rPr>
        <w:br w:type="page"/>
      </w:r>
      <w:r>
        <w:rPr>
          <w:rFonts w:hint="eastAsia" w:ascii="仿宋_GB2312" w:hAnsi="仿宋_GB2312" w:eastAsia="仿宋_GB2312" w:cs="仿宋_GB2312"/>
          <w:color w:val="auto"/>
          <w:sz w:val="28"/>
          <w:szCs w:val="28"/>
        </w:rPr>
        <w:t>安全隐患整改通知书</w:t>
      </w:r>
    </w:p>
    <w:p>
      <w:pPr>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基建（安）第   号</w:t>
      </w:r>
    </w:p>
    <w:tbl>
      <w:tblPr>
        <w:tblStyle w:val="12"/>
        <w:tblW w:w="9660" w:type="dxa"/>
        <w:jc w:val="center"/>
        <w:tblInd w:w="0" w:type="dxa"/>
        <w:tblLayout w:type="fixed"/>
        <w:tblCellMar>
          <w:top w:w="0" w:type="dxa"/>
          <w:left w:w="0" w:type="dxa"/>
          <w:bottom w:w="0" w:type="dxa"/>
          <w:right w:w="0" w:type="dxa"/>
        </w:tblCellMar>
      </w:tblPr>
      <w:tblGrid>
        <w:gridCol w:w="842"/>
        <w:gridCol w:w="1365"/>
        <w:gridCol w:w="2730"/>
        <w:gridCol w:w="2250"/>
        <w:gridCol w:w="1050"/>
        <w:gridCol w:w="1423"/>
      </w:tblGrid>
      <w:tr>
        <w:tblPrEx>
          <w:tblLayout w:type="fixed"/>
          <w:tblCellMar>
            <w:top w:w="0" w:type="dxa"/>
            <w:left w:w="0" w:type="dxa"/>
            <w:bottom w:w="0" w:type="dxa"/>
            <w:right w:w="0" w:type="dxa"/>
          </w:tblCellMar>
        </w:tblPrEx>
        <w:trPr>
          <w:trHeight w:val="449" w:hRule="atLeast"/>
          <w:jc w:val="center"/>
        </w:trPr>
        <w:tc>
          <w:tcPr>
            <w:tcW w:w="220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工程名称</w:t>
            </w:r>
          </w:p>
        </w:tc>
        <w:tc>
          <w:tcPr>
            <w:tcW w:w="27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exact"/>
              <w:rPr>
                <w:rFonts w:ascii="仿宋_GB2312" w:hAnsi="仿宋_GB2312" w:eastAsia="仿宋_GB2312" w:cs="仿宋_GB2312"/>
                <w:color w:val="auto"/>
                <w:sz w:val="28"/>
                <w:szCs w:val="28"/>
              </w:rPr>
            </w:pPr>
          </w:p>
        </w:tc>
        <w:tc>
          <w:tcPr>
            <w:tcW w:w="22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责任施工项目部</w:t>
            </w:r>
          </w:p>
        </w:tc>
        <w:tc>
          <w:tcPr>
            <w:tcW w:w="247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exact"/>
              <w:rPr>
                <w:rFonts w:ascii="仿宋_GB2312" w:hAnsi="仿宋_GB2312" w:eastAsia="仿宋_GB2312" w:cs="仿宋_GB2312"/>
                <w:color w:val="auto"/>
                <w:sz w:val="28"/>
                <w:szCs w:val="28"/>
              </w:rPr>
            </w:pPr>
          </w:p>
        </w:tc>
      </w:tr>
      <w:tr>
        <w:tblPrEx>
          <w:tblLayout w:type="fixed"/>
          <w:tblCellMar>
            <w:top w:w="0" w:type="dxa"/>
            <w:left w:w="0" w:type="dxa"/>
            <w:bottom w:w="0" w:type="dxa"/>
            <w:right w:w="0" w:type="dxa"/>
          </w:tblCellMar>
        </w:tblPrEx>
        <w:trPr>
          <w:trHeight w:val="449" w:hRule="atLeast"/>
          <w:jc w:val="center"/>
        </w:trPr>
        <w:tc>
          <w:tcPr>
            <w:tcW w:w="220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责任监理项目部</w:t>
            </w:r>
          </w:p>
        </w:tc>
        <w:tc>
          <w:tcPr>
            <w:tcW w:w="27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exact"/>
              <w:rPr>
                <w:rFonts w:ascii="仿宋_GB2312" w:hAnsi="仿宋_GB2312" w:eastAsia="仿宋_GB2312" w:cs="仿宋_GB2312"/>
                <w:color w:val="auto"/>
                <w:sz w:val="28"/>
                <w:szCs w:val="28"/>
              </w:rPr>
            </w:pPr>
          </w:p>
        </w:tc>
        <w:tc>
          <w:tcPr>
            <w:tcW w:w="22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责任人（甲方）</w:t>
            </w:r>
          </w:p>
        </w:tc>
        <w:tc>
          <w:tcPr>
            <w:tcW w:w="247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exact"/>
              <w:rPr>
                <w:rFonts w:ascii="仿宋_GB2312" w:hAnsi="仿宋_GB2312" w:eastAsia="仿宋_GB2312" w:cs="仿宋_GB2312"/>
                <w:color w:val="auto"/>
                <w:sz w:val="28"/>
                <w:szCs w:val="28"/>
              </w:rPr>
            </w:pPr>
          </w:p>
        </w:tc>
      </w:tr>
      <w:tr>
        <w:tblPrEx>
          <w:tblLayout w:type="fixed"/>
          <w:tblCellMar>
            <w:top w:w="0" w:type="dxa"/>
            <w:left w:w="0" w:type="dxa"/>
            <w:bottom w:w="0" w:type="dxa"/>
            <w:right w:w="0" w:type="dxa"/>
          </w:tblCellMar>
        </w:tblPrEx>
        <w:trPr>
          <w:trHeight w:val="643" w:hRule="atLeast"/>
          <w:jc w:val="center"/>
        </w:trPr>
        <w:tc>
          <w:tcPr>
            <w:tcW w:w="8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序号</w:t>
            </w:r>
          </w:p>
        </w:tc>
        <w:tc>
          <w:tcPr>
            <w:tcW w:w="409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存在的安全隐患</w:t>
            </w:r>
          </w:p>
        </w:tc>
        <w:tc>
          <w:tcPr>
            <w:tcW w:w="330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整改建议</w:t>
            </w:r>
          </w:p>
        </w:tc>
        <w:tc>
          <w:tcPr>
            <w:tcW w:w="1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整改期限</w:t>
            </w:r>
          </w:p>
        </w:tc>
      </w:tr>
      <w:tr>
        <w:tblPrEx>
          <w:tblLayout w:type="fixed"/>
          <w:tblCellMar>
            <w:top w:w="0" w:type="dxa"/>
            <w:left w:w="0" w:type="dxa"/>
            <w:bottom w:w="0" w:type="dxa"/>
            <w:right w:w="0" w:type="dxa"/>
          </w:tblCellMar>
        </w:tblPrEx>
        <w:trPr>
          <w:trHeight w:val="1488" w:hRule="atLeast"/>
          <w:jc w:val="center"/>
        </w:trPr>
        <w:tc>
          <w:tcPr>
            <w:tcW w:w="8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360" w:lineRule="exact"/>
              <w:rPr>
                <w:rFonts w:ascii="仿宋_GB2312" w:hAnsi="仿宋_GB2312" w:eastAsia="仿宋_GB2312" w:cs="仿宋_GB2312"/>
                <w:color w:val="auto"/>
                <w:sz w:val="28"/>
                <w:szCs w:val="28"/>
              </w:rPr>
            </w:pPr>
          </w:p>
        </w:tc>
        <w:tc>
          <w:tcPr>
            <w:tcW w:w="409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360" w:lineRule="exact"/>
              <w:rPr>
                <w:rFonts w:ascii="仿宋_GB2312" w:hAnsi="仿宋_GB2312" w:eastAsia="仿宋_GB2312" w:cs="仿宋_GB2312"/>
                <w:color w:val="auto"/>
                <w:sz w:val="28"/>
                <w:szCs w:val="28"/>
              </w:rPr>
            </w:pPr>
          </w:p>
        </w:tc>
        <w:tc>
          <w:tcPr>
            <w:tcW w:w="330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360" w:lineRule="exact"/>
              <w:rPr>
                <w:rFonts w:ascii="仿宋_GB2312" w:hAnsi="仿宋_GB2312" w:eastAsia="仿宋_GB2312" w:cs="仿宋_GB2312"/>
                <w:color w:val="auto"/>
                <w:sz w:val="28"/>
                <w:szCs w:val="28"/>
              </w:rPr>
            </w:pPr>
          </w:p>
        </w:tc>
        <w:tc>
          <w:tcPr>
            <w:tcW w:w="1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360" w:lineRule="exact"/>
              <w:rPr>
                <w:rFonts w:ascii="仿宋_GB2312" w:hAnsi="仿宋_GB2312" w:eastAsia="仿宋_GB2312" w:cs="仿宋_GB2312"/>
                <w:color w:val="auto"/>
                <w:sz w:val="28"/>
                <w:szCs w:val="28"/>
              </w:rPr>
            </w:pPr>
          </w:p>
        </w:tc>
      </w:tr>
      <w:tr>
        <w:tblPrEx>
          <w:tblLayout w:type="fixed"/>
          <w:tblCellMar>
            <w:top w:w="0" w:type="dxa"/>
            <w:left w:w="0" w:type="dxa"/>
            <w:bottom w:w="0" w:type="dxa"/>
            <w:right w:w="0" w:type="dxa"/>
          </w:tblCellMar>
        </w:tblPrEx>
        <w:trPr>
          <w:trHeight w:val="1421" w:hRule="atLeast"/>
          <w:jc w:val="center"/>
        </w:trPr>
        <w:tc>
          <w:tcPr>
            <w:tcW w:w="8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360" w:lineRule="exact"/>
              <w:rPr>
                <w:rFonts w:ascii="仿宋_GB2312" w:hAnsi="仿宋_GB2312" w:eastAsia="仿宋_GB2312" w:cs="仿宋_GB2312"/>
                <w:color w:val="auto"/>
                <w:sz w:val="28"/>
                <w:szCs w:val="28"/>
              </w:rPr>
            </w:pPr>
          </w:p>
        </w:tc>
        <w:tc>
          <w:tcPr>
            <w:tcW w:w="409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360" w:lineRule="exact"/>
              <w:rPr>
                <w:rFonts w:ascii="仿宋_GB2312" w:hAnsi="仿宋_GB2312" w:eastAsia="仿宋_GB2312" w:cs="仿宋_GB2312"/>
                <w:color w:val="auto"/>
                <w:sz w:val="28"/>
                <w:szCs w:val="28"/>
              </w:rPr>
            </w:pPr>
          </w:p>
        </w:tc>
        <w:tc>
          <w:tcPr>
            <w:tcW w:w="330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360" w:lineRule="exact"/>
              <w:rPr>
                <w:rFonts w:ascii="仿宋_GB2312" w:hAnsi="仿宋_GB2312" w:eastAsia="仿宋_GB2312" w:cs="仿宋_GB2312"/>
                <w:color w:val="auto"/>
                <w:sz w:val="28"/>
                <w:szCs w:val="28"/>
              </w:rPr>
            </w:pPr>
          </w:p>
        </w:tc>
        <w:tc>
          <w:tcPr>
            <w:tcW w:w="1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360" w:lineRule="exact"/>
              <w:rPr>
                <w:rFonts w:ascii="仿宋_GB2312" w:hAnsi="仿宋_GB2312" w:eastAsia="仿宋_GB2312" w:cs="仿宋_GB2312"/>
                <w:color w:val="auto"/>
                <w:sz w:val="28"/>
                <w:szCs w:val="28"/>
              </w:rPr>
            </w:pPr>
          </w:p>
        </w:tc>
      </w:tr>
      <w:tr>
        <w:tblPrEx>
          <w:tblLayout w:type="fixed"/>
          <w:tblCellMar>
            <w:top w:w="0" w:type="dxa"/>
            <w:left w:w="0" w:type="dxa"/>
            <w:bottom w:w="0" w:type="dxa"/>
            <w:right w:w="0" w:type="dxa"/>
          </w:tblCellMar>
        </w:tblPrEx>
        <w:trPr>
          <w:trHeight w:val="1346" w:hRule="atLeast"/>
          <w:jc w:val="center"/>
        </w:trPr>
        <w:tc>
          <w:tcPr>
            <w:tcW w:w="8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360" w:lineRule="exact"/>
              <w:rPr>
                <w:rFonts w:ascii="仿宋_GB2312" w:hAnsi="仿宋_GB2312" w:eastAsia="仿宋_GB2312" w:cs="仿宋_GB2312"/>
                <w:color w:val="auto"/>
                <w:sz w:val="28"/>
                <w:szCs w:val="28"/>
              </w:rPr>
            </w:pPr>
          </w:p>
        </w:tc>
        <w:tc>
          <w:tcPr>
            <w:tcW w:w="409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360" w:lineRule="exact"/>
              <w:rPr>
                <w:rFonts w:ascii="仿宋_GB2312" w:hAnsi="仿宋_GB2312" w:eastAsia="仿宋_GB2312" w:cs="仿宋_GB2312"/>
                <w:color w:val="auto"/>
                <w:sz w:val="28"/>
                <w:szCs w:val="28"/>
              </w:rPr>
            </w:pPr>
          </w:p>
        </w:tc>
        <w:tc>
          <w:tcPr>
            <w:tcW w:w="330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360" w:lineRule="exact"/>
              <w:rPr>
                <w:rFonts w:ascii="仿宋_GB2312" w:hAnsi="仿宋_GB2312" w:eastAsia="仿宋_GB2312" w:cs="仿宋_GB2312"/>
                <w:color w:val="auto"/>
                <w:sz w:val="28"/>
                <w:szCs w:val="28"/>
              </w:rPr>
            </w:pPr>
          </w:p>
        </w:tc>
        <w:tc>
          <w:tcPr>
            <w:tcW w:w="1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360" w:lineRule="exact"/>
              <w:rPr>
                <w:rFonts w:ascii="仿宋_GB2312" w:hAnsi="仿宋_GB2312" w:eastAsia="仿宋_GB2312" w:cs="仿宋_GB2312"/>
                <w:color w:val="auto"/>
                <w:sz w:val="28"/>
                <w:szCs w:val="28"/>
              </w:rPr>
            </w:pPr>
          </w:p>
        </w:tc>
      </w:tr>
      <w:tr>
        <w:tblPrEx>
          <w:tblLayout w:type="fixed"/>
          <w:tblCellMar>
            <w:top w:w="0" w:type="dxa"/>
            <w:left w:w="0" w:type="dxa"/>
            <w:bottom w:w="0" w:type="dxa"/>
            <w:right w:w="0" w:type="dxa"/>
          </w:tblCellMar>
        </w:tblPrEx>
        <w:trPr>
          <w:trHeight w:val="1451" w:hRule="atLeast"/>
          <w:jc w:val="center"/>
        </w:trPr>
        <w:tc>
          <w:tcPr>
            <w:tcW w:w="8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360" w:lineRule="exact"/>
              <w:rPr>
                <w:rFonts w:ascii="仿宋_GB2312" w:hAnsi="仿宋_GB2312" w:eastAsia="仿宋_GB2312" w:cs="仿宋_GB2312"/>
                <w:color w:val="auto"/>
                <w:sz w:val="28"/>
                <w:szCs w:val="28"/>
              </w:rPr>
            </w:pPr>
          </w:p>
        </w:tc>
        <w:tc>
          <w:tcPr>
            <w:tcW w:w="409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360" w:lineRule="exact"/>
              <w:rPr>
                <w:rFonts w:ascii="仿宋_GB2312" w:hAnsi="仿宋_GB2312" w:eastAsia="仿宋_GB2312" w:cs="仿宋_GB2312"/>
                <w:color w:val="auto"/>
                <w:sz w:val="28"/>
                <w:szCs w:val="28"/>
              </w:rPr>
            </w:pPr>
          </w:p>
        </w:tc>
        <w:tc>
          <w:tcPr>
            <w:tcW w:w="330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360" w:lineRule="exact"/>
              <w:rPr>
                <w:rFonts w:ascii="仿宋_GB2312" w:hAnsi="仿宋_GB2312" w:eastAsia="仿宋_GB2312" w:cs="仿宋_GB2312"/>
                <w:color w:val="auto"/>
                <w:sz w:val="28"/>
                <w:szCs w:val="28"/>
              </w:rPr>
            </w:pPr>
          </w:p>
        </w:tc>
        <w:tc>
          <w:tcPr>
            <w:tcW w:w="1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360" w:lineRule="exact"/>
              <w:rPr>
                <w:rFonts w:ascii="仿宋_GB2312" w:hAnsi="仿宋_GB2312" w:eastAsia="仿宋_GB2312" w:cs="仿宋_GB2312"/>
                <w:color w:val="auto"/>
                <w:sz w:val="28"/>
                <w:szCs w:val="28"/>
              </w:rPr>
            </w:pPr>
          </w:p>
        </w:tc>
      </w:tr>
      <w:tr>
        <w:tblPrEx>
          <w:tblLayout w:type="fixed"/>
          <w:tblCellMar>
            <w:top w:w="0" w:type="dxa"/>
            <w:left w:w="0" w:type="dxa"/>
            <w:bottom w:w="0" w:type="dxa"/>
            <w:right w:w="0" w:type="dxa"/>
          </w:tblCellMar>
        </w:tblPrEx>
        <w:trPr>
          <w:trHeight w:val="1944" w:hRule="atLeast"/>
          <w:jc w:val="center"/>
        </w:trPr>
        <w:tc>
          <w:tcPr>
            <w:tcW w:w="4937"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3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责任单位项目部（签章）：</w:t>
            </w:r>
          </w:p>
        </w:tc>
        <w:tc>
          <w:tcPr>
            <w:tcW w:w="4723"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3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检查人员（签字）：</w:t>
            </w:r>
          </w:p>
          <w:p>
            <w:pPr>
              <w:adjustRightInd w:val="0"/>
              <w:snapToGrid w:val="0"/>
              <w:spacing w:line="360" w:lineRule="exact"/>
              <w:rPr>
                <w:rFonts w:ascii="仿宋_GB2312" w:hAnsi="仿宋_GB2312" w:eastAsia="仿宋_GB2312" w:cs="仿宋_GB2312"/>
                <w:color w:val="auto"/>
                <w:sz w:val="28"/>
                <w:szCs w:val="28"/>
              </w:rPr>
            </w:pPr>
          </w:p>
          <w:p>
            <w:pPr>
              <w:adjustRightInd w:val="0"/>
              <w:snapToGrid w:val="0"/>
              <w:spacing w:line="3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检查时间：</w:t>
            </w:r>
          </w:p>
        </w:tc>
      </w:tr>
      <w:tr>
        <w:tblPrEx>
          <w:tblLayout w:type="fixed"/>
          <w:tblCellMar>
            <w:top w:w="0" w:type="dxa"/>
            <w:left w:w="0" w:type="dxa"/>
            <w:bottom w:w="0" w:type="dxa"/>
            <w:right w:w="0" w:type="dxa"/>
          </w:tblCellMar>
        </w:tblPrEx>
        <w:trPr>
          <w:trHeight w:val="1915" w:hRule="atLeast"/>
          <w:jc w:val="center"/>
        </w:trPr>
        <w:tc>
          <w:tcPr>
            <w:tcW w:w="9660"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3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w:t>
            </w:r>
          </w:p>
          <w:p>
            <w:pPr>
              <w:adjustRightInd w:val="0"/>
              <w:snapToGrid w:val="0"/>
              <w:spacing w:line="3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检查部门（签章）</w:t>
            </w:r>
          </w:p>
          <w:p>
            <w:pPr>
              <w:adjustRightInd w:val="0"/>
              <w:snapToGrid w:val="0"/>
              <w:spacing w:line="3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w:t>
            </w:r>
          </w:p>
          <w:p>
            <w:pPr>
              <w:adjustRightInd w:val="0"/>
              <w:snapToGrid w:val="0"/>
              <w:spacing w:line="3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　　年　　月　　　日</w:t>
            </w:r>
          </w:p>
        </w:tc>
      </w:tr>
    </w:tbl>
    <w:p>
      <w:pPr>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注：1、施工项目部收到本通知单后，须在指定时限内完成整改，并递交《施工安全隐患整改回复单》；2、本通知书一式三份，检查人员、责任施工项目部、责任监理项目部各持一份。3、表格中的签章是指签字或盖章。</w:t>
      </w:r>
    </w:p>
    <w:p>
      <w:pPr>
        <w:adjustRightInd w:val="0"/>
        <w:snapToGrid w:val="0"/>
        <w:spacing w:line="360" w:lineRule="exact"/>
        <w:ind w:left="420"/>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br w:type="page"/>
      </w:r>
      <w:r>
        <w:rPr>
          <w:rFonts w:hint="eastAsia" w:ascii="仿宋_GB2312" w:hAnsi="仿宋_GB2312" w:eastAsia="仿宋_GB2312" w:cs="仿宋_GB2312"/>
          <w:color w:val="auto"/>
          <w:sz w:val="28"/>
          <w:szCs w:val="28"/>
        </w:rPr>
        <w:t>安全文明施工工作联系单（收取违约金）</w:t>
      </w:r>
    </w:p>
    <w:p>
      <w:pPr>
        <w:adjustRightInd w:val="0"/>
        <w:snapToGrid w:val="0"/>
        <w:spacing w:line="560" w:lineRule="exact"/>
        <w:ind w:firstLine="560" w:firstLineChars="200"/>
        <w:jc w:val="righ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基建（安）第   号</w:t>
      </w:r>
    </w:p>
    <w:tbl>
      <w:tblPr>
        <w:tblStyle w:val="12"/>
        <w:tblW w:w="9735" w:type="dxa"/>
        <w:jc w:val="center"/>
        <w:tblInd w:w="0" w:type="dxa"/>
        <w:tblLayout w:type="fixed"/>
        <w:tblCellMar>
          <w:top w:w="0" w:type="dxa"/>
          <w:left w:w="0" w:type="dxa"/>
          <w:bottom w:w="0" w:type="dxa"/>
          <w:right w:w="0" w:type="dxa"/>
        </w:tblCellMar>
      </w:tblPr>
      <w:tblGrid>
        <w:gridCol w:w="1694"/>
        <w:gridCol w:w="887"/>
        <w:gridCol w:w="768"/>
        <w:gridCol w:w="3148"/>
        <w:gridCol w:w="3238"/>
      </w:tblGrid>
      <w:tr>
        <w:tblPrEx>
          <w:tblLayout w:type="fixed"/>
          <w:tblCellMar>
            <w:top w:w="0" w:type="dxa"/>
            <w:left w:w="0" w:type="dxa"/>
            <w:bottom w:w="0" w:type="dxa"/>
            <w:right w:w="0" w:type="dxa"/>
          </w:tblCellMar>
        </w:tblPrEx>
        <w:trPr>
          <w:trHeight w:val="630" w:hRule="atLeast"/>
          <w:jc w:val="center"/>
        </w:trPr>
        <w:tc>
          <w:tcPr>
            <w:tcW w:w="258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责任单位项目部</w:t>
            </w:r>
          </w:p>
        </w:tc>
        <w:tc>
          <w:tcPr>
            <w:tcW w:w="7154"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exact"/>
              <w:rPr>
                <w:rFonts w:ascii="仿宋_GB2312" w:hAnsi="仿宋_GB2312" w:eastAsia="仿宋_GB2312" w:cs="仿宋_GB2312"/>
                <w:color w:val="auto"/>
                <w:sz w:val="28"/>
                <w:szCs w:val="28"/>
              </w:rPr>
            </w:pPr>
          </w:p>
        </w:tc>
      </w:tr>
      <w:tr>
        <w:tblPrEx>
          <w:tblLayout w:type="fixed"/>
          <w:tblCellMar>
            <w:top w:w="0" w:type="dxa"/>
            <w:left w:w="0" w:type="dxa"/>
            <w:bottom w:w="0" w:type="dxa"/>
            <w:right w:w="0" w:type="dxa"/>
          </w:tblCellMar>
        </w:tblPrEx>
        <w:trPr>
          <w:trHeight w:val="180" w:hRule="atLeast"/>
          <w:jc w:val="center"/>
        </w:trPr>
        <w:tc>
          <w:tcPr>
            <w:tcW w:w="169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整改通知书编号</w:t>
            </w:r>
          </w:p>
        </w:tc>
        <w:tc>
          <w:tcPr>
            <w:tcW w:w="8041"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处   罚    标　　准　　依　　据</w:t>
            </w:r>
          </w:p>
        </w:tc>
      </w:tr>
      <w:tr>
        <w:tblPrEx>
          <w:tblLayout w:type="fixed"/>
          <w:tblCellMar>
            <w:top w:w="0" w:type="dxa"/>
            <w:left w:w="0" w:type="dxa"/>
            <w:bottom w:w="0" w:type="dxa"/>
            <w:right w:w="0" w:type="dxa"/>
          </w:tblCellMar>
        </w:tblPrEx>
        <w:trPr>
          <w:trHeight w:val="873" w:hRule="atLeast"/>
          <w:jc w:val="center"/>
        </w:trPr>
        <w:tc>
          <w:tcPr>
            <w:tcW w:w="169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exact"/>
              <w:rPr>
                <w:rFonts w:ascii="仿宋_GB2312" w:hAnsi="仿宋_GB2312" w:eastAsia="仿宋_GB2312" w:cs="仿宋_GB2312"/>
                <w:color w:val="auto"/>
                <w:sz w:val="28"/>
                <w:szCs w:val="28"/>
              </w:rPr>
            </w:pPr>
          </w:p>
        </w:tc>
        <w:tc>
          <w:tcPr>
            <w:tcW w:w="165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收取违约金数额（元）</w:t>
            </w:r>
          </w:p>
        </w:tc>
        <w:tc>
          <w:tcPr>
            <w:tcW w:w="638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未按要求整改内容描述</w:t>
            </w:r>
          </w:p>
        </w:tc>
      </w:tr>
      <w:tr>
        <w:tblPrEx>
          <w:tblLayout w:type="fixed"/>
          <w:tblCellMar>
            <w:top w:w="0" w:type="dxa"/>
            <w:left w:w="0" w:type="dxa"/>
            <w:bottom w:w="0" w:type="dxa"/>
            <w:right w:w="0" w:type="dxa"/>
          </w:tblCellMar>
        </w:tblPrEx>
        <w:trPr>
          <w:trHeight w:val="974" w:hRule="atLeast"/>
          <w:jc w:val="center"/>
        </w:trPr>
        <w:tc>
          <w:tcPr>
            <w:tcW w:w="16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exact"/>
              <w:rPr>
                <w:rFonts w:ascii="仿宋_GB2312" w:hAnsi="仿宋_GB2312" w:eastAsia="仿宋_GB2312" w:cs="仿宋_GB2312"/>
                <w:color w:val="auto"/>
                <w:sz w:val="28"/>
                <w:szCs w:val="28"/>
              </w:rPr>
            </w:pPr>
          </w:p>
        </w:tc>
        <w:tc>
          <w:tcPr>
            <w:tcW w:w="165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exact"/>
              <w:rPr>
                <w:rFonts w:ascii="仿宋_GB2312" w:hAnsi="仿宋_GB2312" w:eastAsia="仿宋_GB2312" w:cs="仿宋_GB2312"/>
                <w:color w:val="auto"/>
                <w:sz w:val="28"/>
                <w:szCs w:val="28"/>
              </w:rPr>
            </w:pPr>
          </w:p>
        </w:tc>
        <w:tc>
          <w:tcPr>
            <w:tcW w:w="638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exact"/>
              <w:rPr>
                <w:rFonts w:ascii="仿宋_GB2312" w:hAnsi="仿宋_GB2312" w:eastAsia="仿宋_GB2312" w:cs="仿宋_GB2312"/>
                <w:color w:val="auto"/>
                <w:sz w:val="28"/>
                <w:szCs w:val="28"/>
              </w:rPr>
            </w:pPr>
          </w:p>
        </w:tc>
      </w:tr>
      <w:tr>
        <w:tblPrEx>
          <w:tblLayout w:type="fixed"/>
          <w:tblCellMar>
            <w:top w:w="0" w:type="dxa"/>
            <w:left w:w="0" w:type="dxa"/>
            <w:bottom w:w="0" w:type="dxa"/>
            <w:right w:w="0" w:type="dxa"/>
          </w:tblCellMar>
        </w:tblPrEx>
        <w:trPr>
          <w:trHeight w:val="980" w:hRule="atLeast"/>
          <w:jc w:val="center"/>
        </w:trPr>
        <w:tc>
          <w:tcPr>
            <w:tcW w:w="16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exact"/>
              <w:rPr>
                <w:rFonts w:ascii="仿宋_GB2312" w:hAnsi="仿宋_GB2312" w:eastAsia="仿宋_GB2312" w:cs="仿宋_GB2312"/>
                <w:color w:val="auto"/>
                <w:sz w:val="28"/>
                <w:szCs w:val="28"/>
              </w:rPr>
            </w:pPr>
          </w:p>
        </w:tc>
        <w:tc>
          <w:tcPr>
            <w:tcW w:w="165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exact"/>
              <w:rPr>
                <w:rFonts w:ascii="仿宋_GB2312" w:hAnsi="仿宋_GB2312" w:eastAsia="仿宋_GB2312" w:cs="仿宋_GB2312"/>
                <w:color w:val="auto"/>
                <w:sz w:val="28"/>
                <w:szCs w:val="28"/>
              </w:rPr>
            </w:pPr>
          </w:p>
        </w:tc>
        <w:tc>
          <w:tcPr>
            <w:tcW w:w="638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exact"/>
              <w:rPr>
                <w:rFonts w:ascii="仿宋_GB2312" w:hAnsi="仿宋_GB2312" w:eastAsia="仿宋_GB2312" w:cs="仿宋_GB2312"/>
                <w:color w:val="auto"/>
                <w:sz w:val="28"/>
                <w:szCs w:val="28"/>
              </w:rPr>
            </w:pPr>
          </w:p>
        </w:tc>
      </w:tr>
      <w:tr>
        <w:tblPrEx>
          <w:tblLayout w:type="fixed"/>
          <w:tblCellMar>
            <w:top w:w="0" w:type="dxa"/>
            <w:left w:w="0" w:type="dxa"/>
            <w:bottom w:w="0" w:type="dxa"/>
            <w:right w:w="0" w:type="dxa"/>
          </w:tblCellMar>
        </w:tblPrEx>
        <w:trPr>
          <w:trHeight w:val="1025" w:hRule="atLeast"/>
          <w:jc w:val="center"/>
        </w:trPr>
        <w:tc>
          <w:tcPr>
            <w:tcW w:w="16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exact"/>
              <w:rPr>
                <w:rFonts w:ascii="仿宋_GB2312" w:hAnsi="仿宋_GB2312" w:eastAsia="仿宋_GB2312" w:cs="仿宋_GB2312"/>
                <w:color w:val="auto"/>
                <w:sz w:val="28"/>
                <w:szCs w:val="28"/>
              </w:rPr>
            </w:pPr>
          </w:p>
        </w:tc>
        <w:tc>
          <w:tcPr>
            <w:tcW w:w="165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exact"/>
              <w:rPr>
                <w:rFonts w:ascii="仿宋_GB2312" w:hAnsi="仿宋_GB2312" w:eastAsia="仿宋_GB2312" w:cs="仿宋_GB2312"/>
                <w:color w:val="auto"/>
                <w:sz w:val="28"/>
                <w:szCs w:val="28"/>
              </w:rPr>
            </w:pPr>
          </w:p>
        </w:tc>
        <w:tc>
          <w:tcPr>
            <w:tcW w:w="638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exact"/>
              <w:rPr>
                <w:rFonts w:ascii="仿宋_GB2312" w:hAnsi="仿宋_GB2312" w:eastAsia="仿宋_GB2312" w:cs="仿宋_GB2312"/>
                <w:color w:val="auto"/>
                <w:sz w:val="28"/>
                <w:szCs w:val="28"/>
              </w:rPr>
            </w:pPr>
          </w:p>
        </w:tc>
      </w:tr>
      <w:tr>
        <w:tblPrEx>
          <w:tblLayout w:type="fixed"/>
          <w:tblCellMar>
            <w:top w:w="0" w:type="dxa"/>
            <w:left w:w="0" w:type="dxa"/>
            <w:bottom w:w="0" w:type="dxa"/>
            <w:right w:w="0" w:type="dxa"/>
          </w:tblCellMar>
        </w:tblPrEx>
        <w:trPr>
          <w:trHeight w:val="950" w:hRule="atLeast"/>
          <w:jc w:val="center"/>
        </w:trPr>
        <w:tc>
          <w:tcPr>
            <w:tcW w:w="16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exact"/>
              <w:rPr>
                <w:rFonts w:ascii="仿宋_GB2312" w:hAnsi="仿宋_GB2312" w:eastAsia="仿宋_GB2312" w:cs="仿宋_GB2312"/>
                <w:color w:val="auto"/>
                <w:sz w:val="28"/>
                <w:szCs w:val="28"/>
              </w:rPr>
            </w:pPr>
          </w:p>
        </w:tc>
        <w:tc>
          <w:tcPr>
            <w:tcW w:w="165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exact"/>
              <w:rPr>
                <w:rFonts w:ascii="仿宋_GB2312" w:hAnsi="仿宋_GB2312" w:eastAsia="仿宋_GB2312" w:cs="仿宋_GB2312"/>
                <w:color w:val="auto"/>
                <w:sz w:val="28"/>
                <w:szCs w:val="28"/>
              </w:rPr>
            </w:pPr>
          </w:p>
        </w:tc>
        <w:tc>
          <w:tcPr>
            <w:tcW w:w="638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exact"/>
              <w:rPr>
                <w:rFonts w:ascii="仿宋_GB2312" w:hAnsi="仿宋_GB2312" w:eastAsia="仿宋_GB2312" w:cs="仿宋_GB2312"/>
                <w:color w:val="auto"/>
                <w:sz w:val="28"/>
                <w:szCs w:val="28"/>
              </w:rPr>
            </w:pPr>
          </w:p>
        </w:tc>
      </w:tr>
      <w:tr>
        <w:tblPrEx>
          <w:tblLayout w:type="fixed"/>
          <w:tblCellMar>
            <w:top w:w="0" w:type="dxa"/>
            <w:left w:w="0" w:type="dxa"/>
            <w:bottom w:w="0" w:type="dxa"/>
            <w:right w:w="0" w:type="dxa"/>
          </w:tblCellMar>
        </w:tblPrEx>
        <w:trPr>
          <w:trHeight w:val="1010" w:hRule="atLeast"/>
          <w:jc w:val="center"/>
        </w:trPr>
        <w:tc>
          <w:tcPr>
            <w:tcW w:w="16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exact"/>
              <w:rPr>
                <w:rFonts w:ascii="仿宋_GB2312" w:hAnsi="仿宋_GB2312" w:eastAsia="仿宋_GB2312" w:cs="仿宋_GB2312"/>
                <w:color w:val="auto"/>
                <w:sz w:val="28"/>
                <w:szCs w:val="28"/>
              </w:rPr>
            </w:pPr>
          </w:p>
        </w:tc>
        <w:tc>
          <w:tcPr>
            <w:tcW w:w="165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exact"/>
              <w:rPr>
                <w:rFonts w:ascii="仿宋_GB2312" w:hAnsi="仿宋_GB2312" w:eastAsia="仿宋_GB2312" w:cs="仿宋_GB2312"/>
                <w:color w:val="auto"/>
                <w:sz w:val="28"/>
                <w:szCs w:val="28"/>
              </w:rPr>
            </w:pPr>
          </w:p>
        </w:tc>
        <w:tc>
          <w:tcPr>
            <w:tcW w:w="638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exact"/>
              <w:rPr>
                <w:rFonts w:ascii="仿宋_GB2312" w:hAnsi="仿宋_GB2312" w:eastAsia="仿宋_GB2312" w:cs="仿宋_GB2312"/>
                <w:color w:val="auto"/>
                <w:sz w:val="28"/>
                <w:szCs w:val="28"/>
              </w:rPr>
            </w:pPr>
          </w:p>
        </w:tc>
      </w:tr>
      <w:tr>
        <w:tblPrEx>
          <w:tblLayout w:type="fixed"/>
          <w:tblCellMar>
            <w:top w:w="0" w:type="dxa"/>
            <w:left w:w="0" w:type="dxa"/>
            <w:bottom w:w="0" w:type="dxa"/>
            <w:right w:w="0" w:type="dxa"/>
          </w:tblCellMar>
        </w:tblPrEx>
        <w:trPr>
          <w:trHeight w:val="1040" w:hRule="atLeast"/>
          <w:jc w:val="center"/>
        </w:trPr>
        <w:tc>
          <w:tcPr>
            <w:tcW w:w="16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exact"/>
              <w:rPr>
                <w:rFonts w:ascii="仿宋_GB2312" w:hAnsi="仿宋_GB2312" w:eastAsia="仿宋_GB2312" w:cs="仿宋_GB2312"/>
                <w:color w:val="auto"/>
                <w:sz w:val="28"/>
                <w:szCs w:val="28"/>
              </w:rPr>
            </w:pPr>
          </w:p>
        </w:tc>
        <w:tc>
          <w:tcPr>
            <w:tcW w:w="165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exact"/>
              <w:rPr>
                <w:rFonts w:ascii="仿宋_GB2312" w:hAnsi="仿宋_GB2312" w:eastAsia="仿宋_GB2312" w:cs="仿宋_GB2312"/>
                <w:color w:val="auto"/>
                <w:sz w:val="28"/>
                <w:szCs w:val="28"/>
              </w:rPr>
            </w:pPr>
          </w:p>
        </w:tc>
        <w:tc>
          <w:tcPr>
            <w:tcW w:w="638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exact"/>
              <w:rPr>
                <w:rFonts w:ascii="仿宋_GB2312" w:hAnsi="仿宋_GB2312" w:eastAsia="仿宋_GB2312" w:cs="仿宋_GB2312"/>
                <w:color w:val="auto"/>
                <w:sz w:val="28"/>
                <w:szCs w:val="28"/>
              </w:rPr>
            </w:pPr>
          </w:p>
        </w:tc>
      </w:tr>
      <w:tr>
        <w:tblPrEx>
          <w:tblLayout w:type="fixed"/>
          <w:tblCellMar>
            <w:top w:w="0" w:type="dxa"/>
            <w:left w:w="0" w:type="dxa"/>
            <w:bottom w:w="0" w:type="dxa"/>
            <w:right w:w="0" w:type="dxa"/>
          </w:tblCellMar>
        </w:tblPrEx>
        <w:trPr>
          <w:trHeight w:val="630" w:hRule="atLeast"/>
          <w:jc w:val="center"/>
        </w:trPr>
        <w:tc>
          <w:tcPr>
            <w:tcW w:w="16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exact"/>
              <w:rPr>
                <w:rFonts w:ascii="仿宋_GB2312" w:hAnsi="仿宋_GB2312" w:eastAsia="仿宋_GB2312" w:cs="仿宋_GB2312"/>
                <w:b/>
                <w:color w:val="auto"/>
                <w:sz w:val="28"/>
                <w:szCs w:val="28"/>
              </w:rPr>
            </w:pPr>
            <w:r>
              <w:rPr>
                <w:rFonts w:hint="eastAsia" w:ascii="仿宋_GB2312" w:hAnsi="仿宋_GB2312" w:eastAsia="仿宋_GB2312" w:cs="仿宋_GB2312"/>
                <w:color w:val="auto"/>
                <w:sz w:val="28"/>
                <w:szCs w:val="28"/>
              </w:rPr>
              <w:t>收取违约金合计（元）</w:t>
            </w:r>
          </w:p>
        </w:tc>
        <w:tc>
          <w:tcPr>
            <w:tcW w:w="165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exact"/>
              <w:rPr>
                <w:rFonts w:ascii="仿宋_GB2312" w:hAnsi="仿宋_GB2312" w:eastAsia="仿宋_GB2312" w:cs="仿宋_GB2312"/>
                <w:color w:val="auto"/>
                <w:sz w:val="28"/>
                <w:szCs w:val="28"/>
              </w:rPr>
            </w:pPr>
          </w:p>
        </w:tc>
        <w:tc>
          <w:tcPr>
            <w:tcW w:w="31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检查人员</w:t>
            </w:r>
          </w:p>
        </w:tc>
        <w:tc>
          <w:tcPr>
            <w:tcW w:w="32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exact"/>
              <w:rPr>
                <w:rFonts w:ascii="仿宋_GB2312" w:hAnsi="仿宋_GB2312" w:eastAsia="仿宋_GB2312" w:cs="仿宋_GB2312"/>
                <w:color w:val="auto"/>
                <w:sz w:val="28"/>
                <w:szCs w:val="28"/>
              </w:rPr>
            </w:pPr>
          </w:p>
        </w:tc>
      </w:tr>
      <w:tr>
        <w:tblPrEx>
          <w:tblLayout w:type="fixed"/>
          <w:tblCellMar>
            <w:top w:w="0" w:type="dxa"/>
            <w:left w:w="0" w:type="dxa"/>
            <w:bottom w:w="0" w:type="dxa"/>
            <w:right w:w="0" w:type="dxa"/>
          </w:tblCellMar>
        </w:tblPrEx>
        <w:trPr>
          <w:trHeight w:val="2662" w:hRule="atLeast"/>
          <w:jc w:val="center"/>
        </w:trPr>
        <w:tc>
          <w:tcPr>
            <w:tcW w:w="3349"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3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责任施工项目部（签章）</w:t>
            </w:r>
          </w:p>
        </w:tc>
        <w:tc>
          <w:tcPr>
            <w:tcW w:w="31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3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责任监理项目部（签章）</w:t>
            </w:r>
          </w:p>
          <w:p>
            <w:pPr>
              <w:adjustRightInd w:val="0"/>
              <w:snapToGrid w:val="0"/>
              <w:spacing w:line="360" w:lineRule="exact"/>
              <w:rPr>
                <w:rFonts w:ascii="仿宋_GB2312" w:hAnsi="仿宋_GB2312" w:eastAsia="仿宋_GB2312" w:cs="仿宋_GB2312"/>
                <w:color w:val="auto"/>
                <w:sz w:val="28"/>
                <w:szCs w:val="28"/>
              </w:rPr>
            </w:pPr>
          </w:p>
          <w:p>
            <w:pPr>
              <w:adjustRightInd w:val="0"/>
              <w:snapToGrid w:val="0"/>
              <w:spacing w:line="360" w:lineRule="exact"/>
              <w:rPr>
                <w:rFonts w:ascii="仿宋_GB2312" w:hAnsi="仿宋_GB2312" w:eastAsia="仿宋_GB2312" w:cs="仿宋_GB2312"/>
                <w:color w:val="auto"/>
                <w:sz w:val="28"/>
                <w:szCs w:val="28"/>
              </w:rPr>
            </w:pPr>
          </w:p>
          <w:p>
            <w:pPr>
              <w:adjustRightInd w:val="0"/>
              <w:snapToGrid w:val="0"/>
              <w:spacing w:line="360" w:lineRule="exact"/>
              <w:rPr>
                <w:rFonts w:ascii="仿宋_GB2312" w:hAnsi="仿宋_GB2312" w:eastAsia="仿宋_GB2312" w:cs="仿宋_GB2312"/>
                <w:color w:val="auto"/>
                <w:sz w:val="28"/>
                <w:szCs w:val="28"/>
              </w:rPr>
            </w:pPr>
          </w:p>
          <w:p>
            <w:pPr>
              <w:adjustRightInd w:val="0"/>
              <w:snapToGrid w:val="0"/>
              <w:spacing w:line="360" w:lineRule="exact"/>
              <w:rPr>
                <w:rFonts w:ascii="仿宋_GB2312" w:hAnsi="仿宋_GB2312" w:eastAsia="仿宋_GB2312" w:cs="仿宋_GB2312"/>
                <w:color w:val="auto"/>
                <w:sz w:val="28"/>
                <w:szCs w:val="28"/>
              </w:rPr>
            </w:pPr>
          </w:p>
        </w:tc>
        <w:tc>
          <w:tcPr>
            <w:tcW w:w="32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3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签发部门（签章）</w:t>
            </w:r>
          </w:p>
          <w:p>
            <w:pPr>
              <w:adjustRightInd w:val="0"/>
              <w:snapToGrid w:val="0"/>
              <w:spacing w:line="360" w:lineRule="exact"/>
              <w:rPr>
                <w:rFonts w:ascii="仿宋_GB2312" w:hAnsi="仿宋_GB2312" w:eastAsia="仿宋_GB2312" w:cs="仿宋_GB2312"/>
                <w:color w:val="auto"/>
                <w:sz w:val="28"/>
                <w:szCs w:val="28"/>
              </w:rPr>
            </w:pPr>
          </w:p>
          <w:p>
            <w:pPr>
              <w:adjustRightInd w:val="0"/>
              <w:snapToGrid w:val="0"/>
              <w:spacing w:line="360" w:lineRule="exact"/>
              <w:rPr>
                <w:rFonts w:ascii="仿宋_GB2312" w:hAnsi="仿宋_GB2312" w:eastAsia="仿宋_GB2312" w:cs="仿宋_GB2312"/>
                <w:color w:val="auto"/>
                <w:sz w:val="28"/>
                <w:szCs w:val="28"/>
              </w:rPr>
            </w:pPr>
          </w:p>
          <w:p>
            <w:pPr>
              <w:adjustRightInd w:val="0"/>
              <w:snapToGrid w:val="0"/>
              <w:spacing w:line="3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   年   月    日</w:t>
            </w:r>
          </w:p>
        </w:tc>
      </w:tr>
    </w:tbl>
    <w:p>
      <w:pPr>
        <w:spacing w:line="560" w:lineRule="exact"/>
        <w:ind w:firstLine="560" w:firstLineChars="200"/>
        <w:jc w:val="left"/>
        <w:rPr>
          <w:rFonts w:ascii="仿宋_GB2312" w:hAnsi="仿宋_GB2312" w:eastAsia="仿宋_GB2312" w:cs="仿宋_GB2312"/>
          <w:bCs/>
          <w:color w:val="auto"/>
          <w:sz w:val="28"/>
          <w:szCs w:val="28"/>
        </w:rPr>
      </w:pPr>
      <w:r>
        <w:rPr>
          <w:rFonts w:hint="eastAsia" w:ascii="仿宋_GB2312" w:hAnsi="仿宋_GB2312" w:eastAsia="仿宋_GB2312" w:cs="仿宋_GB2312"/>
          <w:color w:val="auto"/>
          <w:sz w:val="28"/>
          <w:szCs w:val="28"/>
        </w:rPr>
        <w:t>注：1、本扣分通知单一式四份，动力部、签发人、责任施工项目部和责任监理项目部各持一份。2、表格中的签章是指签字或盖章。</w:t>
      </w:r>
    </w:p>
    <w:p>
      <w:pPr>
        <w:widowControl/>
        <w:spacing w:line="360" w:lineRule="exact"/>
        <w:jc w:val="left"/>
        <w:rPr>
          <w:rFonts w:ascii="仿宋_GB2312" w:hAnsi="仿宋_GB2312" w:eastAsia="仿宋_GB2312" w:cs="仿宋_GB2312"/>
          <w:b/>
          <w:bCs/>
          <w:color w:val="auto"/>
          <w:sz w:val="28"/>
          <w:szCs w:val="28"/>
        </w:rPr>
        <w:sectPr>
          <w:footerReference r:id="rId7" w:type="default"/>
          <w:pgSz w:w="11907" w:h="16840"/>
          <w:pgMar w:top="1134" w:right="1134" w:bottom="1134" w:left="1134" w:header="851" w:footer="992" w:gutter="0"/>
          <w:pgNumType w:start="1"/>
          <w:cols w:space="720" w:num="1"/>
          <w:docGrid w:linePitch="312" w:charSpace="0"/>
        </w:sectPr>
      </w:pPr>
      <w:bookmarkStart w:id="15" w:name="_Hlk126741364"/>
    </w:p>
    <w:p>
      <w:pPr>
        <w:spacing w:line="560" w:lineRule="exact"/>
        <w:rPr>
          <w:rFonts w:ascii="黑体" w:hAnsi="黑体" w:eastAsia="黑体" w:cs="黑体"/>
          <w:color w:val="auto"/>
          <w:sz w:val="32"/>
          <w:szCs w:val="32"/>
        </w:rPr>
      </w:pPr>
      <w:r>
        <w:rPr>
          <w:rFonts w:hint="eastAsia" w:ascii="黑体" w:hAnsi="黑体" w:eastAsia="黑体" w:cs="黑体"/>
          <w:color w:val="auto"/>
          <w:sz w:val="32"/>
          <w:szCs w:val="32"/>
        </w:rPr>
        <w:t>附件4：</w:t>
      </w:r>
    </w:p>
    <w:p>
      <w:pPr>
        <w:adjustRightInd w:val="0"/>
        <w:snapToGrid w:val="0"/>
        <w:spacing w:line="560" w:lineRule="exact"/>
        <w:jc w:val="center"/>
        <w:rPr>
          <w:rFonts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保密承诺书</w:t>
      </w:r>
    </w:p>
    <w:p>
      <w:pPr>
        <w:adjustRightInd w:val="0"/>
        <w:snapToGrid w:val="0"/>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杭州萧山国际机场有限公司（以下简称“贵司”）：</w:t>
      </w:r>
    </w:p>
    <w:p>
      <w:pPr>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鉴于我司与贵司拟订立《杭州萧山国际机场T4航站楼国际中转厅电源敷设项目施工合同》（以下简称“主合同”），并建立业务合作伙伴关系。贵司在上述主合同履行过程中将向我司提供有关保密信息，且该保密信息属贵司合法所有。为对上述保密信息予以有效保护，我司特就保密事宜向贵司出具以下承诺：</w:t>
      </w:r>
    </w:p>
    <w:p>
      <w:pPr>
        <w:adjustRightInd w:val="0"/>
        <w:snapToGrid w:val="0"/>
        <w:spacing w:line="560" w:lineRule="exact"/>
        <w:ind w:firstLine="560" w:firstLineChars="200"/>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一、保密信息的范围</w:t>
      </w:r>
    </w:p>
    <w:p>
      <w:pPr>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 本承诺书提及的保密信息，包括但不限于贵司向我司披露、我司从贵司获得或我司在履行主合同项下义务过程中知晓的与主合同项目有关或因主合同项目产生的任何贵司商业、营销、技术、运营数据或其他性质的资料、设计资料、机场安防信息、各设备材料技术参数、相互函电、合同内容，以及任何未公布的贵司项目交易信息、技术规格书、材料（设备）备选推荐品牌库信息等，无论以何种形式或载于何种载体，无论在披露时是否以口头、图像或以书面方式表明其具有保密性，都作为贵司的保密信息。</w:t>
      </w:r>
    </w:p>
    <w:p>
      <w:pPr>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1.2 贵司同意我司的保密承诺不适用于下述情形：（1）在贵司向我司根据本承诺书披露信息之前，在没有违反本承诺书的情况下，贵司的保密信息已经为普通大众可以获取的资料；或（2）我司能提供书面证据证明我司从贵司收到保密信息前已经从其他途径合法地获知该资料。</w:t>
      </w:r>
    </w:p>
    <w:p>
      <w:pPr>
        <w:adjustRightInd w:val="0"/>
        <w:snapToGrid w:val="0"/>
        <w:spacing w:line="560" w:lineRule="exact"/>
        <w:ind w:firstLine="560" w:firstLineChars="200"/>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二、保密承诺</w:t>
      </w:r>
    </w:p>
    <w:p>
      <w:pPr>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2.1对于贵司的保密信息，我司应严格予以保密，并采取所有保密措施和制度（包括但不仅限于我司为保护其自有商业保密信息所采用的措施和制度）保护该保密信息。</w:t>
      </w:r>
    </w:p>
    <w:p>
      <w:pPr>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2.2. 除法律规定或双方另有约定外，未经贵司书面同意，我司不得将贵司的保密信息泄露给任何第三方。</w:t>
      </w:r>
    </w:p>
    <w:p>
      <w:pPr>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2.3 除用于履行与贵司的主合同之外，我司在任何时候均不得利用贵司的保密信息，且不复制该等保密信息。我司应仅向为实现主合同目的而需要知悉贵司保密信息的我司员工、中介机构、第三方工作人员披露贵司保密信息并与该等人员签订保密协议，就贵司的保密信息，我司应要求该等人员承担不低于本承诺书所规定之程度的保密义务。</w:t>
      </w:r>
    </w:p>
    <w:p>
      <w:pPr>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2.4 一旦我司发现未经授权使用或披露贵司保密信息的情形或其他违约情形，我司应立即通知贵司。我司应与贵司合作，协助贵司重新取得对该等保密信息的控制，并防止他人进一步未经授权而使用该等保密信息。</w:t>
      </w:r>
    </w:p>
    <w:p>
      <w:pPr>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2.5 我司可以根据法院命令或政府机构的要求对贵司的保密信息做出披露，但须立即书面通知贵司该等命令或要求，以便贵司可以有机会对该等被要求的披露进行抗辩。在任何情况下，我司应保证该等被要求的披露仅限于在法院命令或政府机构所要求的限度和范围内。</w:t>
      </w:r>
    </w:p>
    <w:p>
      <w:pPr>
        <w:adjustRightInd w:val="0"/>
        <w:snapToGrid w:val="0"/>
        <w:spacing w:line="560" w:lineRule="exact"/>
        <w:ind w:firstLine="560" w:firstLineChars="200"/>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三、保密信息的返还及处理</w:t>
      </w:r>
    </w:p>
    <w:p>
      <w:pPr>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3.1 保密信息属贵司的专有财产。本承诺书并不产生明示的或暗示的权利转让或权利许可，包括但不限于发明、实用新型和设计专利、注册设计、版权、模板或商标以及前述权利的申请权。任何时候，只要收到贵司的书面要求，我司应立即归还全部与贵司保密信息相关的资料和文件，包含该等贵司保密信息资料的媒体及其任何或全部复制件或摘要。</w:t>
      </w:r>
    </w:p>
    <w:p>
      <w:pPr>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3.2 如果该保密信息资料属于不能归还的形式或已经复制或转录到其他资料或载体中，则我司应立即采取措施予以删除或销毁并向贵司提供已经完成删除或销毁的有效证明。</w:t>
      </w:r>
    </w:p>
    <w:p>
      <w:pPr>
        <w:adjustRightInd w:val="0"/>
        <w:snapToGrid w:val="0"/>
        <w:spacing w:line="560" w:lineRule="exact"/>
        <w:ind w:firstLine="560" w:firstLineChars="200"/>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四、保密期限</w:t>
      </w:r>
    </w:p>
    <w:p>
      <w:pPr>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我司的保密义务自我司获知贵司保密信息之日起至该等保密信息被合法公开之日止。</w:t>
      </w:r>
    </w:p>
    <w:p>
      <w:pPr>
        <w:adjustRightInd w:val="0"/>
        <w:snapToGrid w:val="0"/>
        <w:spacing w:line="560" w:lineRule="exact"/>
        <w:ind w:firstLine="560" w:firstLineChars="200"/>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五、违约责任</w:t>
      </w:r>
    </w:p>
    <w:p>
      <w:pPr>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我司如违反本承诺书，贵司有权要求我司立即停止侵权和进一步的对外泄露或滥用，并要求我司采取其他合理的补救措施，并有权终止贵司与我司双方正在执行的其他合同，而贵司无需对此承担任何责任。除此之外，贵司有权扣除【</w:t>
      </w:r>
      <w:r>
        <w:rPr>
          <w:rFonts w:hint="eastAsia" w:ascii="仿宋_GB2312" w:hAnsi="仿宋_GB2312" w:eastAsia="仿宋_GB2312" w:cs="仿宋_GB2312"/>
          <w:color w:val="auto"/>
          <w:sz w:val="28"/>
          <w:szCs w:val="28"/>
        </w:rPr>
        <w:sym w:font="Wingdings" w:char="00A8"/>
      </w:r>
      <w:r>
        <w:rPr>
          <w:rFonts w:hint="eastAsia" w:ascii="仿宋_GB2312" w:hAnsi="仿宋_GB2312" w:eastAsia="仿宋_GB2312" w:cs="仿宋_GB2312"/>
          <w:color w:val="auto"/>
          <w:sz w:val="28"/>
          <w:szCs w:val="28"/>
        </w:rPr>
        <w:t>已缴纳的履约保证金的10%；</w:t>
      </w:r>
      <w:r>
        <w:rPr>
          <w:rFonts w:hint="eastAsia" w:ascii="仿宋_GB2312" w:hAnsi="仿宋_GB2312" w:eastAsia="仿宋_GB2312" w:cs="仿宋_GB2312"/>
          <w:color w:val="auto"/>
          <w:sz w:val="28"/>
          <w:szCs w:val="28"/>
        </w:rPr>
        <w:sym w:font="Wingdings" w:char="00FE"/>
      </w:r>
      <w:r>
        <w:rPr>
          <w:rFonts w:hint="eastAsia" w:ascii="仿宋_GB2312" w:hAnsi="仿宋_GB2312" w:eastAsia="仿宋_GB2312" w:cs="仿宋_GB2312"/>
          <w:color w:val="auto"/>
          <w:sz w:val="28"/>
          <w:szCs w:val="28"/>
        </w:rPr>
        <w:t>合同金额1%】作为违反保密承诺的违约金。如该违约金不足以弥补贵司损失的（包括但不限于因我司违约行为造成的贵司利益减少，该等利益包括直接利益损失（指销量、利润减少及开发费用损失）与间接利益损失（指无形资产的价值减少）以及贵司为主张权利而支出的诉讼费、律师费、公证费、鉴定费、保全费、保全担保费、翻译费等费用），我司另行赔偿。贵司有权通过法律途径对我司的违约行为追究法律责任。</w:t>
      </w:r>
    </w:p>
    <w:p>
      <w:pPr>
        <w:adjustRightInd w:val="0"/>
        <w:snapToGrid w:val="0"/>
        <w:spacing w:line="560" w:lineRule="exact"/>
        <w:ind w:firstLine="560" w:firstLineChars="200"/>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六、争议解决</w:t>
      </w:r>
    </w:p>
    <w:p>
      <w:pPr>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由于本承诺书的履行或解释而产生的或与之有关的任何争议，如双方无法协商解决，应提交贵司住所地人民法院解决。</w:t>
      </w:r>
    </w:p>
    <w:p>
      <w:pPr>
        <w:adjustRightInd w:val="0"/>
        <w:snapToGrid w:val="0"/>
        <w:spacing w:line="560" w:lineRule="exact"/>
        <w:ind w:firstLine="560" w:firstLineChars="200"/>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七、其他</w:t>
      </w:r>
    </w:p>
    <w:p>
      <w:pPr>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本承诺书经我司法定代表人或授权代表签字（包含签章）并加盖我司公章之日起生效。</w:t>
      </w:r>
    </w:p>
    <w:p>
      <w:pPr>
        <w:adjustRightInd w:val="0"/>
        <w:snapToGrid w:val="0"/>
        <w:spacing w:line="560" w:lineRule="exact"/>
        <w:ind w:firstLine="560" w:firstLineChars="200"/>
        <w:jc w:val="right"/>
        <w:rPr>
          <w:rFonts w:ascii="仿宋_GB2312" w:hAnsi="仿宋_GB2312" w:eastAsia="仿宋_GB2312" w:cs="仿宋_GB2312"/>
          <w:color w:val="auto"/>
          <w:sz w:val="28"/>
          <w:szCs w:val="28"/>
        </w:rPr>
      </w:pPr>
    </w:p>
    <w:p>
      <w:pPr>
        <w:adjustRightInd w:val="0"/>
        <w:snapToGrid w:val="0"/>
        <w:spacing w:line="560" w:lineRule="exact"/>
        <w:ind w:firstLine="560" w:firstLineChars="200"/>
        <w:jc w:val="righ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法定代表人(或授权代表)签字：【      】</w:t>
      </w:r>
    </w:p>
    <w:p>
      <w:pPr>
        <w:adjustRightInd w:val="0"/>
        <w:snapToGrid w:val="0"/>
        <w:spacing w:line="560" w:lineRule="exact"/>
        <w:ind w:firstLine="560" w:firstLineChars="200"/>
        <w:jc w:val="righ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盖章：【      】</w:t>
      </w:r>
    </w:p>
    <w:p>
      <w:pPr>
        <w:adjustRightInd w:val="0"/>
        <w:snapToGrid w:val="0"/>
        <w:spacing w:line="560" w:lineRule="exact"/>
        <w:ind w:firstLine="560" w:firstLineChars="200"/>
        <w:jc w:val="righ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日期：【      】</w:t>
      </w:r>
      <w:bookmarkEnd w:id="15"/>
    </w:p>
    <w:p>
      <w:pPr>
        <w:pageBreakBefore/>
        <w:spacing w:line="560" w:lineRule="exact"/>
        <w:rPr>
          <w:rFonts w:ascii="黑体" w:hAnsi="黑体" w:eastAsia="黑体" w:cs="黑体"/>
          <w:color w:val="auto"/>
          <w:sz w:val="32"/>
          <w:szCs w:val="32"/>
        </w:rPr>
      </w:pPr>
      <w:r>
        <w:rPr>
          <w:rFonts w:hint="eastAsia" w:ascii="黑体" w:hAnsi="黑体" w:eastAsia="黑体" w:cs="黑体"/>
          <w:color w:val="auto"/>
          <w:sz w:val="32"/>
          <w:szCs w:val="32"/>
        </w:rPr>
        <w:t>附件5：</w:t>
      </w:r>
    </w:p>
    <w:p>
      <w:pPr>
        <w:adjustRightInd w:val="0"/>
        <w:snapToGrid w:val="0"/>
        <w:spacing w:line="560" w:lineRule="exact"/>
        <w:jc w:val="center"/>
        <w:rPr>
          <w:rFonts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廉政承诺书</w:t>
      </w:r>
    </w:p>
    <w:p>
      <w:pPr>
        <w:adjustRightInd w:val="0"/>
        <w:snapToGrid w:val="0"/>
        <w:spacing w:line="560" w:lineRule="exact"/>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杭州萧山国际机场有限公司（以下简称“贵司”）：</w:t>
      </w:r>
    </w:p>
    <w:p>
      <w:pPr>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鉴于：贵司与我司拟订立《杭州萧山国际机场T4航站楼国际中转厅电源敷设项目施工合同》（以下简称“主合同”），并建立业务合作伙伴关系。为了更好地根据诚实信用原则履行双方订立的合同，维护各自内部正常的管理秩序，防止滋生各种腐败行为，促使双方工作人员廉洁从业，我司特就廉政事宜向贵司出具以下承诺：</w:t>
      </w:r>
    </w:p>
    <w:p>
      <w:pPr>
        <w:numPr>
          <w:ilvl w:val="0"/>
          <w:numId w:val="5"/>
        </w:numPr>
        <w:adjustRightInd w:val="0"/>
        <w:snapToGrid w:val="0"/>
        <w:spacing w:line="560" w:lineRule="exact"/>
        <w:ind w:firstLine="560" w:firstLineChars="200"/>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廉政承诺</w:t>
      </w:r>
    </w:p>
    <w:p>
      <w:pPr>
        <w:numPr>
          <w:ilvl w:val="1"/>
          <w:numId w:val="6"/>
        </w:numPr>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我司应严格遵守国家的法律法规和党的纪律以及行业的廉政建设规定，并组织宣传，形成浓厚的反腐倡廉氛围。</w:t>
      </w:r>
    </w:p>
    <w:p>
      <w:pPr>
        <w:numPr>
          <w:ilvl w:val="1"/>
          <w:numId w:val="6"/>
        </w:numPr>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如贵司发现我司及我司工作人员有违反廉政规定的行为时，有义务提醒并有权利制止，必要时有权向我司上级主管部门反映或向当地纪律监察部门举报（我司纪检监察部门举报电话：【/】）。</w:t>
      </w:r>
    </w:p>
    <w:p>
      <w:pPr>
        <w:numPr>
          <w:ilvl w:val="1"/>
          <w:numId w:val="6"/>
        </w:numPr>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我司应建立健全廉政建设责任制，明确廉政建设管理部门，公布举报电话，严格监督并认真查处违法违纪行为。</w:t>
      </w:r>
    </w:p>
    <w:p>
      <w:pPr>
        <w:numPr>
          <w:ilvl w:val="1"/>
          <w:numId w:val="6"/>
        </w:numPr>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我司应从国家和集体利益出发，共同促进各合作项目的顺利进行，自觉遵守贵司相关的规章制度和现场管理规定。</w:t>
      </w:r>
    </w:p>
    <w:p>
      <w:pPr>
        <w:numPr>
          <w:ilvl w:val="1"/>
          <w:numId w:val="6"/>
        </w:numPr>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我司及其工作人员承诺：</w:t>
      </w:r>
    </w:p>
    <w:p>
      <w:pPr>
        <w:numPr>
          <w:ilvl w:val="2"/>
          <w:numId w:val="6"/>
        </w:numPr>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不以任何形式，无论是主动或是被动的，向贵司有关人员或贵司聘请的包括但不限于项目设计、造价咨询、审计、评审专家、顾问等中间机构、第三方人员赠送无论有价或无价的礼金、礼物、酬金、代币券、回扣、中介费、咨询费、好处费等利益、收益或条件；或就上述内容作出任何暗示、许诺、允诺；不以任何形式接受此项目相关利益方（包括但不限于施工、响应交易、被评估、被检测、被审计、被审图等第三方）有关人员赠送无论有价或无价的礼金、礼物、酬金、或其它代币券、回扣、中介费、咨询费、好处费等利益、收益或条件；</w:t>
      </w:r>
    </w:p>
    <w:p>
      <w:pPr>
        <w:numPr>
          <w:ilvl w:val="2"/>
          <w:numId w:val="6"/>
        </w:numPr>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不以任何名义为贵司有关人员报销应由贵司或个人支付的费用；不以任何形式接受此项目相关利益方（包括但不限于施工、响应交易、被评估、被检测、被审计、被图审等第三方）有关人员报销应由贵司或个人支付的费用；</w:t>
      </w:r>
    </w:p>
    <w:p>
      <w:pPr>
        <w:numPr>
          <w:ilvl w:val="2"/>
          <w:numId w:val="6"/>
        </w:numPr>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不向贵司有关人员提供宴请、旅游、和健身娱乐等活动；不以任何形式接受此项目施相关利益方（包括但不限于施工、响应交易、被评估、被检测、被审计、被图审等第三方）有关人员提供宴请、旅游、和健身娱乐等活动；</w:t>
      </w:r>
    </w:p>
    <w:p>
      <w:pPr>
        <w:numPr>
          <w:ilvl w:val="2"/>
          <w:numId w:val="6"/>
        </w:numPr>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不为贵司有关人员出国（境）、旅游等提供方便；不以任何形式接受此项目施工方相关利益方（包括但不限于施工、响应交易、被评估、被检测、被审计、被图审等第三方）有关人员提供的出国（境）、旅游等提供方便；</w:t>
      </w:r>
    </w:p>
    <w:p>
      <w:pPr>
        <w:numPr>
          <w:ilvl w:val="2"/>
          <w:numId w:val="6"/>
        </w:numPr>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不为贵司有关人员个人装修住房、婚丧嫁娶、配偶子女工作安排等提供好处或便利条件；不以任何形式接受此项目相关利益方（包括但不限于施工、响应交易、被评估、被检测、被审计、被图审等第三方）有关人员提供个人装修住房、婚丧嫁娶、配偶子女工作安排等提供好处或便利条件。</w:t>
      </w:r>
    </w:p>
    <w:p>
      <w:pPr>
        <w:numPr>
          <w:ilvl w:val="0"/>
          <w:numId w:val="5"/>
        </w:numPr>
        <w:adjustRightInd w:val="0"/>
        <w:snapToGrid w:val="0"/>
        <w:spacing w:line="560" w:lineRule="exact"/>
        <w:ind w:firstLine="560" w:firstLineChars="200"/>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违约责任</w:t>
      </w:r>
    </w:p>
    <w:p>
      <w:pPr>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2.1 我司工作人员违反上述约定条款的，我司应按党、政管理权限和党纪、政纪的处罚规定，给予处理；情节严重的，报请司法机关处理。</w:t>
      </w:r>
    </w:p>
    <w:p>
      <w:pPr>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2.2 如我司违反本承诺书项下廉洁自律承诺，贵司有权：</w:t>
      </w:r>
    </w:p>
    <w:p>
      <w:pPr>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2.2.1 立即取消我司响应交易、成交或在建项目的实施资格；</w:t>
      </w:r>
    </w:p>
    <w:p>
      <w:pPr>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2.2.2 扣除我司在主合同项下【</w:t>
      </w:r>
      <w:r>
        <w:rPr>
          <w:rFonts w:hint="eastAsia" w:ascii="仿宋_GB2312" w:hAnsi="仿宋_GB2312" w:eastAsia="仿宋_GB2312" w:cs="仿宋_GB2312"/>
          <w:color w:val="auto"/>
          <w:sz w:val="28"/>
          <w:szCs w:val="28"/>
        </w:rPr>
        <w:sym w:font="Wingdings" w:char="00A8"/>
      </w:r>
      <w:r>
        <w:rPr>
          <w:rFonts w:hint="eastAsia" w:ascii="仿宋_GB2312" w:hAnsi="仿宋_GB2312" w:eastAsia="仿宋_GB2312" w:cs="仿宋_GB2312"/>
          <w:color w:val="auto"/>
          <w:sz w:val="28"/>
          <w:szCs w:val="28"/>
        </w:rPr>
        <w:t>已缴纳的履约保证金的10%；</w:t>
      </w:r>
      <w:r>
        <w:rPr>
          <w:rFonts w:hint="eastAsia" w:ascii="仿宋_GB2312" w:hAnsi="仿宋_GB2312" w:eastAsia="仿宋_GB2312" w:cs="仿宋_GB2312"/>
          <w:color w:val="auto"/>
          <w:sz w:val="28"/>
          <w:szCs w:val="28"/>
        </w:rPr>
        <w:sym w:font="Wingdings" w:char="00FE"/>
      </w:r>
      <w:r>
        <w:rPr>
          <w:rFonts w:hint="eastAsia" w:ascii="仿宋_GB2312" w:hAnsi="仿宋_GB2312" w:eastAsia="仿宋_GB2312" w:cs="仿宋_GB2312"/>
          <w:color w:val="auto"/>
          <w:sz w:val="28"/>
          <w:szCs w:val="28"/>
        </w:rPr>
        <w:t>合同金额1%】作为违反廉洁自律承诺的违约金。如该违约金不足以弥补贵司实际损失（包括但不限于贵司因此遭受的直接经济损失以及贵司为主张权利而支出的诉讼费、律师费、公证费、鉴定费、保全费、保全担保费、翻译费等费用）的，我司仍将承担实际损失赔偿责任；</w:t>
      </w:r>
    </w:p>
    <w:p>
      <w:pPr>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2.2.3 拒绝我司在一定时期内参与贵司其他项目或经营活动的响应交易、服务。</w:t>
      </w:r>
    </w:p>
    <w:p>
      <w:pPr>
        <w:numPr>
          <w:ilvl w:val="0"/>
          <w:numId w:val="5"/>
        </w:numPr>
        <w:adjustRightInd w:val="0"/>
        <w:snapToGrid w:val="0"/>
        <w:spacing w:line="560" w:lineRule="exact"/>
        <w:ind w:firstLine="560" w:firstLineChars="200"/>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争议解决</w:t>
      </w:r>
    </w:p>
    <w:p>
      <w:pPr>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由于本承诺书的履行或解释而产生的或与之有关的任何争议，如双方无法协商解决，应提交贵司住所地人民法院解决。</w:t>
      </w:r>
    </w:p>
    <w:p>
      <w:pPr>
        <w:numPr>
          <w:ilvl w:val="0"/>
          <w:numId w:val="5"/>
        </w:numPr>
        <w:adjustRightInd w:val="0"/>
        <w:snapToGrid w:val="0"/>
        <w:spacing w:line="560" w:lineRule="exact"/>
        <w:ind w:firstLine="560" w:firstLineChars="200"/>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其他</w:t>
      </w:r>
    </w:p>
    <w:p>
      <w:pPr>
        <w:tabs>
          <w:tab w:val="right" w:pos="8306"/>
        </w:tabs>
        <w:adjustRightInd w:val="0"/>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本承诺书经我司法定代表人或授权代表签字（包含签章）并加盖我司公章之日起生效。</w:t>
      </w:r>
    </w:p>
    <w:p>
      <w:pPr>
        <w:tabs>
          <w:tab w:val="right" w:pos="8306"/>
        </w:tabs>
        <w:adjustRightInd w:val="0"/>
        <w:snapToGrid w:val="0"/>
        <w:spacing w:line="560" w:lineRule="exact"/>
        <w:ind w:firstLine="560" w:firstLineChars="200"/>
        <w:rPr>
          <w:rFonts w:ascii="仿宋_GB2312" w:hAnsi="仿宋_GB2312" w:eastAsia="仿宋_GB2312" w:cs="仿宋_GB2312"/>
          <w:color w:val="auto"/>
          <w:sz w:val="28"/>
          <w:szCs w:val="28"/>
        </w:rPr>
      </w:pPr>
    </w:p>
    <w:p>
      <w:pPr>
        <w:tabs>
          <w:tab w:val="right" w:pos="8306"/>
        </w:tabs>
        <w:adjustRightInd w:val="0"/>
        <w:snapToGrid w:val="0"/>
        <w:spacing w:line="560" w:lineRule="exact"/>
        <w:ind w:firstLine="560" w:firstLineChars="200"/>
        <w:jc w:val="righ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法定代表人(或授权代表)签字：【      】</w:t>
      </w:r>
    </w:p>
    <w:p>
      <w:pPr>
        <w:tabs>
          <w:tab w:val="right" w:pos="8306"/>
        </w:tabs>
        <w:adjustRightInd w:val="0"/>
        <w:snapToGrid w:val="0"/>
        <w:spacing w:line="560" w:lineRule="exact"/>
        <w:ind w:firstLine="560" w:firstLineChars="200"/>
        <w:jc w:val="righ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盖章：【      】</w:t>
      </w:r>
    </w:p>
    <w:p>
      <w:pPr>
        <w:tabs>
          <w:tab w:val="right" w:pos="8306"/>
        </w:tabs>
        <w:adjustRightInd w:val="0"/>
        <w:snapToGrid w:val="0"/>
        <w:spacing w:line="560" w:lineRule="exact"/>
        <w:ind w:firstLine="560" w:firstLineChars="200"/>
        <w:jc w:val="righ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日期：【      】</w:t>
      </w:r>
    </w:p>
    <w:p>
      <w:pPr>
        <w:spacing w:line="560" w:lineRule="exact"/>
        <w:ind w:firstLine="560" w:firstLineChars="200"/>
        <w:rPr>
          <w:rFonts w:ascii="仿宋_GB2312" w:hAnsi="仿宋_GB2312" w:eastAsia="仿宋_GB2312" w:cs="仿宋_GB2312"/>
          <w:color w:val="auto"/>
          <w:sz w:val="28"/>
          <w:szCs w:val="28"/>
        </w:rPr>
      </w:pPr>
    </w:p>
    <w:p>
      <w:pPr>
        <w:spacing w:line="560" w:lineRule="exact"/>
        <w:rPr>
          <w:rFonts w:ascii="宋体" w:hAnsi="宋体" w:eastAsia="宋体" w:cs="宋体"/>
          <w:color w:val="auto"/>
          <w:sz w:val="22"/>
        </w:rPr>
      </w:pPr>
    </w:p>
    <w:p>
      <w:pPr>
        <w:spacing w:line="560" w:lineRule="exact"/>
        <w:rPr>
          <w:rFonts w:ascii="宋体" w:hAnsi="宋体" w:eastAsia="宋体" w:cs="宋体"/>
          <w:color w:val="auto"/>
          <w:sz w:val="22"/>
        </w:rPr>
      </w:pPr>
    </w:p>
    <w:p>
      <w:pPr>
        <w:pStyle w:val="9"/>
        <w:pageBreakBefore/>
        <w:numPr>
          <w:ilvl w:val="0"/>
          <w:numId w:val="7"/>
        </w:numPr>
        <w:spacing w:before="0" w:after="0" w:line="560" w:lineRule="exact"/>
        <w:rPr>
          <w:rFonts w:hint="eastAsia"/>
          <w:color w:val="auto"/>
        </w:rPr>
      </w:pPr>
      <w:bookmarkStart w:id="16" w:name="_Toc17563"/>
      <w:r>
        <w:rPr>
          <w:rFonts w:hint="eastAsia"/>
          <w:color w:val="auto"/>
        </w:rPr>
        <w:t>工程量清单</w:t>
      </w:r>
      <w:bookmarkEnd w:id="13"/>
      <w:bookmarkEnd w:id="16"/>
    </w:p>
    <w:tbl>
      <w:tblPr>
        <w:tblStyle w:val="12"/>
        <w:tblW w:w="966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87"/>
        <w:gridCol w:w="975"/>
        <w:gridCol w:w="2786"/>
        <w:gridCol w:w="719"/>
        <w:gridCol w:w="1069"/>
        <w:gridCol w:w="1091"/>
        <w:gridCol w:w="1274"/>
        <w:gridCol w:w="12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jc w:val="center"/>
        </w:trPr>
        <w:tc>
          <w:tcPr>
            <w:tcW w:w="9668" w:type="dxa"/>
            <w:gridSpan w:val="8"/>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auto"/>
                <w:sz w:val="40"/>
                <w:szCs w:val="40"/>
                <w:u w:val="none"/>
              </w:rPr>
            </w:pPr>
            <w:r>
              <w:rPr>
                <w:rFonts w:hint="eastAsia" w:ascii="宋体" w:hAnsi="宋体" w:eastAsia="宋体" w:cs="宋体"/>
                <w:b/>
                <w:i w:val="0"/>
                <w:color w:val="auto"/>
                <w:kern w:val="0"/>
                <w:sz w:val="40"/>
                <w:szCs w:val="40"/>
                <w:u w:val="none"/>
                <w:lang w:val="en-US" w:eastAsia="zh-CN" w:bidi="ar"/>
              </w:rPr>
              <w:t>T4航站楼国际中转厅电源敷设项目参考工程量清单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127" w:type="dxa"/>
            <w:gridSpan w:val="6"/>
            <w:shd w:val="clear" w:color="auto" w:fill="FFFFFF"/>
            <w:vAlign w:val="bottom"/>
          </w:tcPr>
          <w:p>
            <w:pPr>
              <w:jc w:val="left"/>
              <w:rPr>
                <w:rFonts w:hint="eastAsia" w:ascii="宋体" w:hAnsi="宋体" w:eastAsia="宋体" w:cs="宋体"/>
                <w:i w:val="0"/>
                <w:color w:val="auto"/>
                <w:sz w:val="18"/>
                <w:szCs w:val="18"/>
                <w:u w:val="none"/>
              </w:rPr>
            </w:pPr>
          </w:p>
        </w:tc>
        <w:tc>
          <w:tcPr>
            <w:tcW w:w="2541" w:type="dxa"/>
            <w:gridSpan w:val="2"/>
            <w:shd w:val="clear" w:color="auto" w:fill="FFFFFF"/>
            <w:vAlign w:val="bottom"/>
          </w:tcPr>
          <w:p>
            <w:pPr>
              <w:keepNext w:val="0"/>
              <w:keepLines w:val="0"/>
              <w:widowControl/>
              <w:suppressLineNumbers w:val="0"/>
              <w:jc w:val="center"/>
              <w:textAlignment w:val="bottom"/>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第1页 共2页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87"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序号</w:t>
            </w:r>
          </w:p>
        </w:tc>
        <w:tc>
          <w:tcPr>
            <w:tcW w:w="975"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定额编号</w:t>
            </w:r>
          </w:p>
        </w:tc>
        <w:tc>
          <w:tcPr>
            <w:tcW w:w="2786"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名称及说明</w:t>
            </w:r>
          </w:p>
        </w:tc>
        <w:tc>
          <w:tcPr>
            <w:tcW w:w="719"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单位</w:t>
            </w:r>
          </w:p>
        </w:tc>
        <w:tc>
          <w:tcPr>
            <w:tcW w:w="1069"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工程数量</w:t>
            </w:r>
          </w:p>
        </w:tc>
        <w:tc>
          <w:tcPr>
            <w:tcW w:w="1091"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综合单价(元)</w:t>
            </w:r>
          </w:p>
        </w:tc>
        <w:tc>
          <w:tcPr>
            <w:tcW w:w="1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合价(元)</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87"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97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2786"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边检柜台</w:t>
            </w:r>
          </w:p>
        </w:tc>
        <w:tc>
          <w:tcPr>
            <w:tcW w:w="719" w:type="dxa"/>
            <w:tcBorders>
              <w:top w:val="single" w:color="000000" w:sz="4" w:space="0"/>
              <w:left w:val="single" w:color="000000" w:sz="4" w:space="0"/>
            </w:tcBorders>
            <w:shd w:val="clear" w:color="auto" w:fill="FFFFFF"/>
            <w:vAlign w:val="center"/>
          </w:tcPr>
          <w:p>
            <w:pPr>
              <w:jc w:val="center"/>
              <w:rPr>
                <w:rFonts w:hint="eastAsia" w:ascii="宋体" w:hAnsi="宋体" w:eastAsia="宋体" w:cs="宋体"/>
                <w:i w:val="0"/>
                <w:color w:val="auto"/>
                <w:sz w:val="18"/>
                <w:szCs w:val="18"/>
                <w:u w:val="none"/>
              </w:rPr>
            </w:pPr>
          </w:p>
        </w:tc>
        <w:tc>
          <w:tcPr>
            <w:tcW w:w="1069"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091"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4" w:type="dxa"/>
            <w:tcBorders>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67"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Arial" w:hAnsi="Arial" w:cs="Arial"/>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487"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97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2786"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安装86型220V/10A 5孔插座（含明盒）</w:t>
            </w:r>
          </w:p>
        </w:tc>
        <w:tc>
          <w:tcPr>
            <w:tcW w:w="719"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个</w:t>
            </w:r>
          </w:p>
        </w:tc>
        <w:tc>
          <w:tcPr>
            <w:tcW w:w="1069"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8.000 </w:t>
            </w:r>
          </w:p>
        </w:tc>
        <w:tc>
          <w:tcPr>
            <w:tcW w:w="1091"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4"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487"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97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2786"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7WLED支架灯安装（0.6米）</w:t>
            </w:r>
          </w:p>
        </w:tc>
        <w:tc>
          <w:tcPr>
            <w:tcW w:w="719"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个</w:t>
            </w:r>
          </w:p>
        </w:tc>
        <w:tc>
          <w:tcPr>
            <w:tcW w:w="1069"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1.000 </w:t>
            </w:r>
          </w:p>
        </w:tc>
        <w:tc>
          <w:tcPr>
            <w:tcW w:w="1091"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4"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87"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97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2786"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10WLED支架灯安装（0.9米）</w:t>
            </w:r>
          </w:p>
        </w:tc>
        <w:tc>
          <w:tcPr>
            <w:tcW w:w="719"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个</w:t>
            </w:r>
          </w:p>
        </w:tc>
        <w:tc>
          <w:tcPr>
            <w:tcW w:w="1069"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3.000 </w:t>
            </w:r>
          </w:p>
        </w:tc>
        <w:tc>
          <w:tcPr>
            <w:tcW w:w="1091"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4"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487"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97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2786"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护套线敷设  RVV3*2.5</w:t>
            </w:r>
          </w:p>
        </w:tc>
        <w:tc>
          <w:tcPr>
            <w:tcW w:w="719"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w:t>
            </w:r>
          </w:p>
        </w:tc>
        <w:tc>
          <w:tcPr>
            <w:tcW w:w="1069"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80.000 </w:t>
            </w:r>
          </w:p>
        </w:tc>
        <w:tc>
          <w:tcPr>
            <w:tcW w:w="1091"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4"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87"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w:t>
            </w:r>
          </w:p>
        </w:tc>
        <w:tc>
          <w:tcPr>
            <w:tcW w:w="97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2786"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PVC线管 公称直径（mm）25（含配件）</w:t>
            </w:r>
          </w:p>
        </w:tc>
        <w:tc>
          <w:tcPr>
            <w:tcW w:w="719"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w:t>
            </w:r>
          </w:p>
        </w:tc>
        <w:tc>
          <w:tcPr>
            <w:tcW w:w="1069"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80.000 </w:t>
            </w:r>
          </w:p>
        </w:tc>
        <w:tc>
          <w:tcPr>
            <w:tcW w:w="1091"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4"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87"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97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2786"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安装86型单开单控开关（含明盒）</w:t>
            </w:r>
          </w:p>
        </w:tc>
        <w:tc>
          <w:tcPr>
            <w:tcW w:w="719"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个</w:t>
            </w:r>
          </w:p>
        </w:tc>
        <w:tc>
          <w:tcPr>
            <w:tcW w:w="1069"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4.000 </w:t>
            </w:r>
          </w:p>
        </w:tc>
        <w:tc>
          <w:tcPr>
            <w:tcW w:w="1091"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4"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87"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97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2786"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海关</w:t>
            </w:r>
          </w:p>
        </w:tc>
        <w:tc>
          <w:tcPr>
            <w:tcW w:w="719" w:type="dxa"/>
            <w:tcBorders>
              <w:top w:val="single" w:color="000000" w:sz="4" w:space="0"/>
              <w:left w:val="single" w:color="000000" w:sz="4" w:space="0"/>
            </w:tcBorders>
            <w:shd w:val="clear" w:color="auto" w:fill="FFFFFF"/>
            <w:vAlign w:val="center"/>
          </w:tcPr>
          <w:p>
            <w:pPr>
              <w:jc w:val="center"/>
              <w:rPr>
                <w:rFonts w:hint="eastAsia" w:ascii="宋体" w:hAnsi="宋体" w:eastAsia="宋体" w:cs="宋体"/>
                <w:i w:val="0"/>
                <w:color w:val="auto"/>
                <w:sz w:val="18"/>
                <w:szCs w:val="18"/>
                <w:u w:val="none"/>
              </w:rPr>
            </w:pPr>
          </w:p>
        </w:tc>
        <w:tc>
          <w:tcPr>
            <w:tcW w:w="1069"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091"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4"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jc w:val="center"/>
        </w:trPr>
        <w:tc>
          <w:tcPr>
            <w:tcW w:w="487"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w:t>
            </w:r>
          </w:p>
        </w:tc>
        <w:tc>
          <w:tcPr>
            <w:tcW w:w="97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2786"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7.5CM彩钢岩棉夹芯板墙面安装（彩钢铁皮厚度0.6㎜，其中岩棉板开门2樘1.4*2.1米及五金配件，含包边、收边条及材料配件等）</w:t>
            </w:r>
          </w:p>
        </w:tc>
        <w:tc>
          <w:tcPr>
            <w:tcW w:w="719"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069"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70.000 </w:t>
            </w:r>
          </w:p>
        </w:tc>
        <w:tc>
          <w:tcPr>
            <w:tcW w:w="1091"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4"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jc w:val="center"/>
        </w:trPr>
        <w:tc>
          <w:tcPr>
            <w:tcW w:w="487"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w:t>
            </w:r>
          </w:p>
        </w:tc>
        <w:tc>
          <w:tcPr>
            <w:tcW w:w="97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2786"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新安装镀锌钢柱80*80*4MM（含150*150*8镀锌钢板化学螺栓固定及配件等）</w:t>
            </w:r>
          </w:p>
        </w:tc>
        <w:tc>
          <w:tcPr>
            <w:tcW w:w="719"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w:t>
            </w:r>
          </w:p>
        </w:tc>
        <w:tc>
          <w:tcPr>
            <w:tcW w:w="1069"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30.000 </w:t>
            </w:r>
          </w:p>
        </w:tc>
        <w:tc>
          <w:tcPr>
            <w:tcW w:w="1091"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4"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87"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w:t>
            </w:r>
          </w:p>
        </w:tc>
        <w:tc>
          <w:tcPr>
            <w:tcW w:w="97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2786"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新安装镀锌钢梁80*80*4MM（含配件等）</w:t>
            </w:r>
          </w:p>
        </w:tc>
        <w:tc>
          <w:tcPr>
            <w:tcW w:w="719"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w:t>
            </w:r>
          </w:p>
        </w:tc>
        <w:tc>
          <w:tcPr>
            <w:tcW w:w="1069"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84.000 </w:t>
            </w:r>
          </w:p>
        </w:tc>
        <w:tc>
          <w:tcPr>
            <w:tcW w:w="1091"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4"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487"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w:t>
            </w:r>
          </w:p>
        </w:tc>
        <w:tc>
          <w:tcPr>
            <w:tcW w:w="97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2786"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安装86型220V/10A 5孔插座（含明盒）</w:t>
            </w:r>
          </w:p>
        </w:tc>
        <w:tc>
          <w:tcPr>
            <w:tcW w:w="719"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个</w:t>
            </w:r>
          </w:p>
        </w:tc>
        <w:tc>
          <w:tcPr>
            <w:tcW w:w="1069"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12.000 </w:t>
            </w:r>
          </w:p>
        </w:tc>
        <w:tc>
          <w:tcPr>
            <w:tcW w:w="1091"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4"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487"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w:t>
            </w:r>
          </w:p>
        </w:tc>
        <w:tc>
          <w:tcPr>
            <w:tcW w:w="97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2786"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10WLED支架灯安装（0.9米）</w:t>
            </w:r>
          </w:p>
        </w:tc>
        <w:tc>
          <w:tcPr>
            <w:tcW w:w="719"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个</w:t>
            </w:r>
          </w:p>
        </w:tc>
        <w:tc>
          <w:tcPr>
            <w:tcW w:w="1069"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16.000 </w:t>
            </w:r>
          </w:p>
        </w:tc>
        <w:tc>
          <w:tcPr>
            <w:tcW w:w="1091"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4"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87"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w:t>
            </w:r>
          </w:p>
        </w:tc>
        <w:tc>
          <w:tcPr>
            <w:tcW w:w="97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2786"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安装86型单开单控开关（含明盒）</w:t>
            </w:r>
          </w:p>
        </w:tc>
        <w:tc>
          <w:tcPr>
            <w:tcW w:w="719"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个</w:t>
            </w:r>
          </w:p>
        </w:tc>
        <w:tc>
          <w:tcPr>
            <w:tcW w:w="1069"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2.000 </w:t>
            </w:r>
          </w:p>
        </w:tc>
        <w:tc>
          <w:tcPr>
            <w:tcW w:w="1091"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4"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87"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w:t>
            </w:r>
          </w:p>
        </w:tc>
        <w:tc>
          <w:tcPr>
            <w:tcW w:w="97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2786"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护套线敷设  RVV3*2.5</w:t>
            </w:r>
          </w:p>
        </w:tc>
        <w:tc>
          <w:tcPr>
            <w:tcW w:w="719"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w:t>
            </w:r>
          </w:p>
        </w:tc>
        <w:tc>
          <w:tcPr>
            <w:tcW w:w="1069"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170.000 </w:t>
            </w:r>
          </w:p>
        </w:tc>
        <w:tc>
          <w:tcPr>
            <w:tcW w:w="1091"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4"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87"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w:t>
            </w:r>
          </w:p>
        </w:tc>
        <w:tc>
          <w:tcPr>
            <w:tcW w:w="97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2786"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PVC线管 公称直径（mm）25（含配件）</w:t>
            </w:r>
          </w:p>
        </w:tc>
        <w:tc>
          <w:tcPr>
            <w:tcW w:w="719"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w:t>
            </w:r>
          </w:p>
        </w:tc>
        <w:tc>
          <w:tcPr>
            <w:tcW w:w="1069"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170.000 </w:t>
            </w:r>
          </w:p>
        </w:tc>
        <w:tc>
          <w:tcPr>
            <w:tcW w:w="1091"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4"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87"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97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2786"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亚组委柜台</w:t>
            </w:r>
          </w:p>
        </w:tc>
        <w:tc>
          <w:tcPr>
            <w:tcW w:w="719" w:type="dxa"/>
            <w:tcBorders>
              <w:top w:val="single" w:color="000000" w:sz="4" w:space="0"/>
              <w:left w:val="single" w:color="000000" w:sz="4" w:space="0"/>
            </w:tcBorders>
            <w:shd w:val="clear" w:color="auto" w:fill="FFFFFF"/>
            <w:vAlign w:val="center"/>
          </w:tcPr>
          <w:p>
            <w:pPr>
              <w:jc w:val="center"/>
              <w:rPr>
                <w:rFonts w:hint="eastAsia" w:ascii="宋体" w:hAnsi="宋体" w:eastAsia="宋体" w:cs="宋体"/>
                <w:i w:val="0"/>
                <w:color w:val="auto"/>
                <w:sz w:val="18"/>
                <w:szCs w:val="18"/>
                <w:u w:val="none"/>
              </w:rPr>
            </w:pPr>
          </w:p>
        </w:tc>
        <w:tc>
          <w:tcPr>
            <w:tcW w:w="1069"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091"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4"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87"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w:t>
            </w:r>
          </w:p>
        </w:tc>
        <w:tc>
          <w:tcPr>
            <w:tcW w:w="97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2786"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护套线敷设  RVV3*2.5</w:t>
            </w:r>
          </w:p>
        </w:tc>
        <w:tc>
          <w:tcPr>
            <w:tcW w:w="719"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w:t>
            </w:r>
          </w:p>
        </w:tc>
        <w:tc>
          <w:tcPr>
            <w:tcW w:w="1069"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90.000 </w:t>
            </w:r>
          </w:p>
        </w:tc>
        <w:tc>
          <w:tcPr>
            <w:tcW w:w="1091"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4"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87"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w:t>
            </w:r>
          </w:p>
        </w:tc>
        <w:tc>
          <w:tcPr>
            <w:tcW w:w="97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2786"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安装86型220V/10A 5孔插座（含明盒）</w:t>
            </w:r>
          </w:p>
        </w:tc>
        <w:tc>
          <w:tcPr>
            <w:tcW w:w="719"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个</w:t>
            </w:r>
          </w:p>
        </w:tc>
        <w:tc>
          <w:tcPr>
            <w:tcW w:w="1069"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3.000 </w:t>
            </w:r>
          </w:p>
        </w:tc>
        <w:tc>
          <w:tcPr>
            <w:tcW w:w="1091"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4"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487"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w:t>
            </w:r>
          </w:p>
        </w:tc>
        <w:tc>
          <w:tcPr>
            <w:tcW w:w="97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2786"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PVC线管 公称直径（mm）25（含配件）</w:t>
            </w:r>
          </w:p>
        </w:tc>
        <w:tc>
          <w:tcPr>
            <w:tcW w:w="719"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w:t>
            </w:r>
          </w:p>
        </w:tc>
        <w:tc>
          <w:tcPr>
            <w:tcW w:w="1069"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90.000 </w:t>
            </w:r>
          </w:p>
        </w:tc>
        <w:tc>
          <w:tcPr>
            <w:tcW w:w="1091"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4"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487"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97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2786"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屏风隔间电视机</w:t>
            </w:r>
          </w:p>
        </w:tc>
        <w:tc>
          <w:tcPr>
            <w:tcW w:w="719" w:type="dxa"/>
            <w:tcBorders>
              <w:top w:val="single" w:color="000000" w:sz="4" w:space="0"/>
              <w:left w:val="single" w:color="000000" w:sz="4" w:space="0"/>
            </w:tcBorders>
            <w:shd w:val="clear" w:color="auto" w:fill="FFFFFF"/>
            <w:vAlign w:val="center"/>
          </w:tcPr>
          <w:p>
            <w:pPr>
              <w:jc w:val="center"/>
              <w:rPr>
                <w:rFonts w:hint="eastAsia" w:ascii="宋体" w:hAnsi="宋体" w:eastAsia="宋体" w:cs="宋体"/>
                <w:i w:val="0"/>
                <w:color w:val="auto"/>
                <w:sz w:val="18"/>
                <w:szCs w:val="18"/>
                <w:u w:val="none"/>
              </w:rPr>
            </w:pPr>
          </w:p>
        </w:tc>
        <w:tc>
          <w:tcPr>
            <w:tcW w:w="1069"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091"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4"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87"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w:t>
            </w:r>
          </w:p>
        </w:tc>
        <w:tc>
          <w:tcPr>
            <w:tcW w:w="97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2786"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护套线敷设  RVV3*2.5</w:t>
            </w:r>
          </w:p>
        </w:tc>
        <w:tc>
          <w:tcPr>
            <w:tcW w:w="719"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w:t>
            </w:r>
          </w:p>
        </w:tc>
        <w:tc>
          <w:tcPr>
            <w:tcW w:w="1069"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150.000 </w:t>
            </w:r>
          </w:p>
        </w:tc>
        <w:tc>
          <w:tcPr>
            <w:tcW w:w="1091"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4"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487"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19</w:t>
            </w:r>
          </w:p>
        </w:tc>
        <w:tc>
          <w:tcPr>
            <w:tcW w:w="97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2786"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PVC线管 公称直径（mm）25（含配件）</w:t>
            </w:r>
          </w:p>
        </w:tc>
        <w:tc>
          <w:tcPr>
            <w:tcW w:w="719"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w:t>
            </w:r>
          </w:p>
        </w:tc>
        <w:tc>
          <w:tcPr>
            <w:tcW w:w="1069"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150.000 </w:t>
            </w:r>
          </w:p>
        </w:tc>
        <w:tc>
          <w:tcPr>
            <w:tcW w:w="1091"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4"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87"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w:t>
            </w:r>
          </w:p>
        </w:tc>
        <w:tc>
          <w:tcPr>
            <w:tcW w:w="97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2786"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安装86型220V/10A 5孔插座（含明盒）</w:t>
            </w:r>
          </w:p>
        </w:tc>
        <w:tc>
          <w:tcPr>
            <w:tcW w:w="719"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个</w:t>
            </w:r>
          </w:p>
        </w:tc>
        <w:tc>
          <w:tcPr>
            <w:tcW w:w="1069"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12.000 </w:t>
            </w:r>
          </w:p>
        </w:tc>
        <w:tc>
          <w:tcPr>
            <w:tcW w:w="1091"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4"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487"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w:t>
            </w:r>
          </w:p>
        </w:tc>
        <w:tc>
          <w:tcPr>
            <w:tcW w:w="97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2786"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不锈钢半圆弧形压线条53*30*12MM</w:t>
            </w:r>
          </w:p>
        </w:tc>
        <w:tc>
          <w:tcPr>
            <w:tcW w:w="719"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w:t>
            </w:r>
          </w:p>
        </w:tc>
        <w:tc>
          <w:tcPr>
            <w:tcW w:w="1069"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95.000 </w:t>
            </w:r>
          </w:p>
        </w:tc>
        <w:tc>
          <w:tcPr>
            <w:tcW w:w="1091"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4"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487"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22</w:t>
            </w:r>
          </w:p>
        </w:tc>
        <w:tc>
          <w:tcPr>
            <w:tcW w:w="97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2786"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2P20A空开带漏保安装</w:t>
            </w:r>
          </w:p>
        </w:tc>
        <w:tc>
          <w:tcPr>
            <w:tcW w:w="719"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个</w:t>
            </w:r>
          </w:p>
        </w:tc>
        <w:tc>
          <w:tcPr>
            <w:tcW w:w="1069"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5.000 </w:t>
            </w:r>
          </w:p>
        </w:tc>
        <w:tc>
          <w:tcPr>
            <w:tcW w:w="1091"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4"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87"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97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2786"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其它</w:t>
            </w:r>
          </w:p>
        </w:tc>
        <w:tc>
          <w:tcPr>
            <w:tcW w:w="719" w:type="dxa"/>
            <w:tcBorders>
              <w:top w:val="single" w:color="000000" w:sz="4" w:space="0"/>
              <w:left w:val="single" w:color="000000" w:sz="4" w:space="0"/>
            </w:tcBorders>
            <w:shd w:val="clear" w:color="auto" w:fill="FFFFFF"/>
            <w:vAlign w:val="center"/>
          </w:tcPr>
          <w:p>
            <w:pPr>
              <w:jc w:val="center"/>
              <w:rPr>
                <w:rFonts w:hint="eastAsia" w:ascii="宋体" w:hAnsi="宋体" w:eastAsia="宋体" w:cs="宋体"/>
                <w:i w:val="0"/>
                <w:color w:val="auto"/>
                <w:sz w:val="18"/>
                <w:szCs w:val="18"/>
                <w:u w:val="none"/>
              </w:rPr>
            </w:pPr>
          </w:p>
        </w:tc>
        <w:tc>
          <w:tcPr>
            <w:tcW w:w="1069"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091"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4"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87"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23</w:t>
            </w:r>
          </w:p>
        </w:tc>
        <w:tc>
          <w:tcPr>
            <w:tcW w:w="97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2786"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登高辅助费</w:t>
            </w:r>
          </w:p>
        </w:tc>
        <w:tc>
          <w:tcPr>
            <w:tcW w:w="719"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项</w:t>
            </w:r>
          </w:p>
        </w:tc>
        <w:tc>
          <w:tcPr>
            <w:tcW w:w="1069"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1.000 </w:t>
            </w:r>
          </w:p>
        </w:tc>
        <w:tc>
          <w:tcPr>
            <w:tcW w:w="1091"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4"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127" w:type="dxa"/>
            <w:gridSpan w:val="6"/>
            <w:tcBorders>
              <w:top w:val="single" w:color="000000" w:sz="4" w:space="0"/>
              <w:left w:val="single" w:color="000000" w:sz="4" w:space="0"/>
              <w:bottom w:val="single" w:color="000000" w:sz="4" w:space="0"/>
            </w:tcBorders>
            <w:shd w:val="clear" w:color="auto" w:fill="FFFFFF"/>
            <w:vAlign w:val="center"/>
          </w:tcPr>
          <w:p>
            <w:pPr>
              <w:jc w:val="center"/>
              <w:rPr>
                <w:rFonts w:hint="eastAsia" w:ascii="宋体" w:hAnsi="宋体" w:eastAsia="宋体" w:cs="宋体"/>
                <w:i w:val="0"/>
                <w:color w:val="auto"/>
                <w:sz w:val="18"/>
                <w:szCs w:val="18"/>
                <w:u w:val="none"/>
              </w:rPr>
            </w:pPr>
          </w:p>
        </w:tc>
        <w:tc>
          <w:tcPr>
            <w:tcW w:w="1274" w:type="dxa"/>
            <w:tcBorders>
              <w:top w:val="single" w:color="000000" w:sz="4" w:space="0"/>
              <w:left w:val="single" w:color="000000" w:sz="4" w:space="0"/>
              <w:bottom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color w:val="auto"/>
                <w:sz w:val="20"/>
                <w:szCs w:val="20"/>
                <w:u w:val="none"/>
              </w:rPr>
            </w:pPr>
          </w:p>
        </w:tc>
      </w:tr>
    </w:tbl>
    <w:p>
      <w:pPr>
        <w:numPr>
          <w:ilvl w:val="0"/>
          <w:numId w:val="0"/>
        </w:numPr>
        <w:rPr>
          <w:color w:val="auto"/>
        </w:rPr>
      </w:pPr>
    </w:p>
    <w:p>
      <w:pPr>
        <w:pStyle w:val="2"/>
        <w:rPr>
          <w:color w:val="auto"/>
        </w:rPr>
      </w:pPr>
    </w:p>
    <w:tbl>
      <w:tblPr>
        <w:tblStyle w:val="12"/>
        <w:tblW w:w="9669"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89"/>
        <w:gridCol w:w="978"/>
        <w:gridCol w:w="2762"/>
        <w:gridCol w:w="721"/>
        <w:gridCol w:w="1076"/>
        <w:gridCol w:w="1093"/>
        <w:gridCol w:w="1277"/>
        <w:gridCol w:w="12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jc w:val="center"/>
        </w:trPr>
        <w:tc>
          <w:tcPr>
            <w:tcW w:w="9669" w:type="dxa"/>
            <w:gridSpan w:val="8"/>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auto"/>
                <w:sz w:val="40"/>
                <w:szCs w:val="40"/>
                <w:u w:val="none"/>
              </w:rPr>
            </w:pPr>
            <w:r>
              <w:rPr>
                <w:rFonts w:hint="eastAsia" w:ascii="宋体" w:hAnsi="宋体" w:eastAsia="宋体" w:cs="宋体"/>
                <w:b/>
                <w:i w:val="0"/>
                <w:color w:val="auto"/>
                <w:kern w:val="0"/>
                <w:sz w:val="40"/>
                <w:szCs w:val="40"/>
                <w:u w:val="none"/>
                <w:lang w:val="en-US" w:eastAsia="zh-CN" w:bidi="ar"/>
              </w:rPr>
              <w:t>T4航站楼国际中转厅电源敷设项目参考工程量清单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7119" w:type="dxa"/>
            <w:gridSpan w:val="6"/>
            <w:shd w:val="clear" w:color="auto" w:fill="FFFFFF"/>
            <w:vAlign w:val="bottom"/>
          </w:tcPr>
          <w:p>
            <w:pPr>
              <w:jc w:val="left"/>
              <w:rPr>
                <w:rFonts w:hint="eastAsia" w:ascii="宋体" w:hAnsi="宋体" w:eastAsia="宋体" w:cs="宋体"/>
                <w:i w:val="0"/>
                <w:color w:val="auto"/>
                <w:sz w:val="18"/>
                <w:szCs w:val="18"/>
                <w:u w:val="none"/>
              </w:rPr>
            </w:pPr>
          </w:p>
        </w:tc>
        <w:tc>
          <w:tcPr>
            <w:tcW w:w="2550" w:type="dxa"/>
            <w:gridSpan w:val="2"/>
            <w:shd w:val="clear" w:color="auto" w:fill="FFFFFF"/>
            <w:vAlign w:val="bottom"/>
          </w:tcPr>
          <w:p>
            <w:pPr>
              <w:keepNext w:val="0"/>
              <w:keepLines w:val="0"/>
              <w:widowControl/>
              <w:suppressLineNumbers w:val="0"/>
              <w:jc w:val="center"/>
              <w:textAlignment w:val="bottom"/>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第2页 共2页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489"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序号</w:t>
            </w:r>
          </w:p>
        </w:tc>
        <w:tc>
          <w:tcPr>
            <w:tcW w:w="978"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定额编号</w:t>
            </w:r>
          </w:p>
        </w:tc>
        <w:tc>
          <w:tcPr>
            <w:tcW w:w="276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名称及说明</w:t>
            </w:r>
          </w:p>
        </w:tc>
        <w:tc>
          <w:tcPr>
            <w:tcW w:w="721"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单位</w:t>
            </w:r>
          </w:p>
        </w:tc>
        <w:tc>
          <w:tcPr>
            <w:tcW w:w="1076"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工程数量</w:t>
            </w:r>
          </w:p>
        </w:tc>
        <w:tc>
          <w:tcPr>
            <w:tcW w:w="1093"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综合单价(元)</w:t>
            </w:r>
          </w:p>
        </w:tc>
        <w:tc>
          <w:tcPr>
            <w:tcW w:w="12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合价(元)</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Arial" w:hAnsi="Arial" w:cs="Arial"/>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5" w:hRule="atLeast"/>
          <w:jc w:val="center"/>
        </w:trPr>
        <w:tc>
          <w:tcPr>
            <w:tcW w:w="489"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w:t>
            </w:r>
          </w:p>
        </w:tc>
        <w:tc>
          <w:tcPr>
            <w:tcW w:w="978"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2762"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隔离区施工措施费 （因隔离区内的的施工，投标人须采用相应施工措施，包括施工导致的夜间加班、工效降低、证件办理等需产生的费用必须充分考虑，费用包含在投标报价中）</w:t>
            </w:r>
          </w:p>
        </w:tc>
        <w:tc>
          <w:tcPr>
            <w:tcW w:w="721"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项</w:t>
            </w:r>
          </w:p>
        </w:tc>
        <w:tc>
          <w:tcPr>
            <w:tcW w:w="1076"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1.000 </w:t>
            </w:r>
          </w:p>
        </w:tc>
        <w:tc>
          <w:tcPr>
            <w:tcW w:w="1093"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7" w:type="dxa"/>
            <w:tcBorders>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3" w:type="dxa"/>
            <w:tcBorders>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jc w:val="center"/>
        </w:trPr>
        <w:tc>
          <w:tcPr>
            <w:tcW w:w="489"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25</w:t>
            </w:r>
          </w:p>
        </w:tc>
        <w:tc>
          <w:tcPr>
            <w:tcW w:w="978"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2762"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施工安全监管费 （投标需考虑聘请专业保安（负责门卫、巡逻、施工现场看护、隔离区围界看护等工作，人数每8小时不得少于1人，并配备相应的保卫措施）</w:t>
            </w:r>
          </w:p>
        </w:tc>
        <w:tc>
          <w:tcPr>
            <w:tcW w:w="721"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元</w:t>
            </w:r>
          </w:p>
        </w:tc>
        <w:tc>
          <w:tcPr>
            <w:tcW w:w="1076"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4000.000 </w:t>
            </w:r>
          </w:p>
        </w:tc>
        <w:tc>
          <w:tcPr>
            <w:tcW w:w="1093"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7"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暂列金额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489"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26</w:t>
            </w:r>
          </w:p>
        </w:tc>
        <w:tc>
          <w:tcPr>
            <w:tcW w:w="978"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2762"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材料搬运及垃圾清理外运</w:t>
            </w:r>
          </w:p>
        </w:tc>
        <w:tc>
          <w:tcPr>
            <w:tcW w:w="721"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项</w:t>
            </w:r>
          </w:p>
        </w:tc>
        <w:tc>
          <w:tcPr>
            <w:tcW w:w="1076"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1.000 </w:t>
            </w:r>
          </w:p>
        </w:tc>
        <w:tc>
          <w:tcPr>
            <w:tcW w:w="1093"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7"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489"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978"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2762"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721"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1076"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093"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7"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89"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978"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2762"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721" w:type="dxa"/>
            <w:tcBorders>
              <w:top w:val="single" w:color="000000" w:sz="4" w:space="0"/>
              <w:left w:val="single" w:color="000000" w:sz="4" w:space="0"/>
            </w:tcBorders>
            <w:shd w:val="clear" w:color="auto" w:fill="FFFFFF"/>
            <w:vAlign w:val="center"/>
          </w:tcPr>
          <w:p>
            <w:pPr>
              <w:jc w:val="center"/>
              <w:rPr>
                <w:rFonts w:hint="eastAsia" w:ascii="宋体" w:hAnsi="宋体" w:eastAsia="宋体" w:cs="宋体"/>
                <w:i w:val="0"/>
                <w:color w:val="auto"/>
                <w:sz w:val="18"/>
                <w:szCs w:val="18"/>
                <w:u w:val="none"/>
              </w:rPr>
            </w:pPr>
          </w:p>
        </w:tc>
        <w:tc>
          <w:tcPr>
            <w:tcW w:w="1076"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093"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7"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489"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978"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2762"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721" w:type="dxa"/>
            <w:tcBorders>
              <w:top w:val="single" w:color="000000" w:sz="4" w:space="0"/>
              <w:left w:val="single" w:color="000000" w:sz="4" w:space="0"/>
            </w:tcBorders>
            <w:shd w:val="clear" w:color="auto" w:fill="FFFFFF"/>
            <w:vAlign w:val="center"/>
          </w:tcPr>
          <w:p>
            <w:pPr>
              <w:jc w:val="center"/>
              <w:rPr>
                <w:rFonts w:hint="eastAsia" w:ascii="宋体" w:hAnsi="宋体" w:eastAsia="宋体" w:cs="宋体"/>
                <w:i w:val="0"/>
                <w:color w:val="auto"/>
                <w:sz w:val="18"/>
                <w:szCs w:val="18"/>
                <w:u w:val="none"/>
              </w:rPr>
            </w:pPr>
          </w:p>
        </w:tc>
        <w:tc>
          <w:tcPr>
            <w:tcW w:w="1076"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093"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7"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89"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978"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2762"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721" w:type="dxa"/>
            <w:tcBorders>
              <w:top w:val="single" w:color="000000" w:sz="4" w:space="0"/>
              <w:left w:val="single" w:color="000000" w:sz="4" w:space="0"/>
            </w:tcBorders>
            <w:shd w:val="clear" w:color="auto" w:fill="FFFFFF"/>
            <w:vAlign w:val="center"/>
          </w:tcPr>
          <w:p>
            <w:pPr>
              <w:jc w:val="center"/>
              <w:rPr>
                <w:rFonts w:hint="eastAsia" w:ascii="宋体" w:hAnsi="宋体" w:eastAsia="宋体" w:cs="宋体"/>
                <w:i w:val="0"/>
                <w:color w:val="auto"/>
                <w:sz w:val="18"/>
                <w:szCs w:val="18"/>
                <w:u w:val="none"/>
              </w:rPr>
            </w:pPr>
          </w:p>
        </w:tc>
        <w:tc>
          <w:tcPr>
            <w:tcW w:w="1076"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093"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7"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89"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978"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2762"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721" w:type="dxa"/>
            <w:tcBorders>
              <w:top w:val="single" w:color="000000" w:sz="4" w:space="0"/>
              <w:left w:val="single" w:color="000000" w:sz="4" w:space="0"/>
            </w:tcBorders>
            <w:shd w:val="clear" w:color="auto" w:fill="FFFFFF"/>
            <w:vAlign w:val="center"/>
          </w:tcPr>
          <w:p>
            <w:pPr>
              <w:jc w:val="center"/>
              <w:rPr>
                <w:rFonts w:hint="eastAsia" w:ascii="宋体" w:hAnsi="宋体" w:eastAsia="宋体" w:cs="宋体"/>
                <w:i w:val="0"/>
                <w:color w:val="auto"/>
                <w:sz w:val="18"/>
                <w:szCs w:val="18"/>
                <w:u w:val="none"/>
              </w:rPr>
            </w:pPr>
          </w:p>
        </w:tc>
        <w:tc>
          <w:tcPr>
            <w:tcW w:w="1076"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093"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7"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89"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978"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2762"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721" w:type="dxa"/>
            <w:tcBorders>
              <w:top w:val="single" w:color="000000" w:sz="4" w:space="0"/>
              <w:left w:val="single" w:color="000000" w:sz="4" w:space="0"/>
            </w:tcBorders>
            <w:shd w:val="clear" w:color="auto" w:fill="FFFFFF"/>
            <w:vAlign w:val="center"/>
          </w:tcPr>
          <w:p>
            <w:pPr>
              <w:jc w:val="center"/>
              <w:rPr>
                <w:rFonts w:hint="eastAsia" w:ascii="宋体" w:hAnsi="宋体" w:eastAsia="宋体" w:cs="宋体"/>
                <w:i w:val="0"/>
                <w:color w:val="auto"/>
                <w:sz w:val="18"/>
                <w:szCs w:val="18"/>
                <w:u w:val="none"/>
              </w:rPr>
            </w:pPr>
          </w:p>
        </w:tc>
        <w:tc>
          <w:tcPr>
            <w:tcW w:w="1076"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093"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7"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89"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978"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2762"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721" w:type="dxa"/>
            <w:tcBorders>
              <w:top w:val="single" w:color="000000" w:sz="4" w:space="0"/>
              <w:left w:val="single" w:color="000000" w:sz="4" w:space="0"/>
            </w:tcBorders>
            <w:shd w:val="clear" w:color="auto" w:fill="FFFFFF"/>
            <w:vAlign w:val="center"/>
          </w:tcPr>
          <w:p>
            <w:pPr>
              <w:jc w:val="center"/>
              <w:rPr>
                <w:rFonts w:hint="eastAsia" w:ascii="宋体" w:hAnsi="宋体" w:eastAsia="宋体" w:cs="宋体"/>
                <w:i w:val="0"/>
                <w:color w:val="auto"/>
                <w:sz w:val="18"/>
                <w:szCs w:val="18"/>
                <w:u w:val="none"/>
              </w:rPr>
            </w:pPr>
          </w:p>
        </w:tc>
        <w:tc>
          <w:tcPr>
            <w:tcW w:w="1076"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093"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7"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489"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978"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2762"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721" w:type="dxa"/>
            <w:tcBorders>
              <w:top w:val="single" w:color="000000" w:sz="4" w:space="0"/>
              <w:left w:val="single" w:color="000000" w:sz="4" w:space="0"/>
            </w:tcBorders>
            <w:shd w:val="clear" w:color="auto" w:fill="FFFFFF"/>
            <w:vAlign w:val="center"/>
          </w:tcPr>
          <w:p>
            <w:pPr>
              <w:jc w:val="center"/>
              <w:rPr>
                <w:rFonts w:hint="eastAsia" w:ascii="宋体" w:hAnsi="宋体" w:eastAsia="宋体" w:cs="宋体"/>
                <w:i w:val="0"/>
                <w:color w:val="auto"/>
                <w:sz w:val="18"/>
                <w:szCs w:val="18"/>
                <w:u w:val="none"/>
              </w:rPr>
            </w:pPr>
          </w:p>
        </w:tc>
        <w:tc>
          <w:tcPr>
            <w:tcW w:w="1076"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093"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7"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89"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978"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2762"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721" w:type="dxa"/>
            <w:tcBorders>
              <w:top w:val="single" w:color="000000" w:sz="4" w:space="0"/>
              <w:left w:val="single" w:color="000000" w:sz="4" w:space="0"/>
            </w:tcBorders>
            <w:shd w:val="clear" w:color="auto" w:fill="FFFFFF"/>
            <w:vAlign w:val="center"/>
          </w:tcPr>
          <w:p>
            <w:pPr>
              <w:jc w:val="center"/>
              <w:rPr>
                <w:rFonts w:hint="eastAsia" w:ascii="宋体" w:hAnsi="宋体" w:eastAsia="宋体" w:cs="宋体"/>
                <w:i w:val="0"/>
                <w:color w:val="auto"/>
                <w:sz w:val="18"/>
                <w:szCs w:val="18"/>
                <w:u w:val="none"/>
              </w:rPr>
            </w:pPr>
          </w:p>
        </w:tc>
        <w:tc>
          <w:tcPr>
            <w:tcW w:w="1076"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093"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7"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489"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978"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2762"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721" w:type="dxa"/>
            <w:tcBorders>
              <w:top w:val="single" w:color="000000" w:sz="4" w:space="0"/>
              <w:left w:val="single" w:color="000000" w:sz="4" w:space="0"/>
            </w:tcBorders>
            <w:shd w:val="clear" w:color="auto" w:fill="FFFFFF"/>
            <w:vAlign w:val="center"/>
          </w:tcPr>
          <w:p>
            <w:pPr>
              <w:jc w:val="center"/>
              <w:rPr>
                <w:rFonts w:hint="eastAsia" w:ascii="宋体" w:hAnsi="宋体" w:eastAsia="宋体" w:cs="宋体"/>
                <w:i w:val="0"/>
                <w:color w:val="auto"/>
                <w:sz w:val="18"/>
                <w:szCs w:val="18"/>
                <w:u w:val="none"/>
              </w:rPr>
            </w:pPr>
          </w:p>
        </w:tc>
        <w:tc>
          <w:tcPr>
            <w:tcW w:w="1076"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093"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7"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489"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978"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2762"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721" w:type="dxa"/>
            <w:tcBorders>
              <w:top w:val="single" w:color="000000" w:sz="4" w:space="0"/>
              <w:left w:val="single" w:color="000000" w:sz="4" w:space="0"/>
            </w:tcBorders>
            <w:shd w:val="clear" w:color="auto" w:fill="FFFFFF"/>
            <w:vAlign w:val="center"/>
          </w:tcPr>
          <w:p>
            <w:pPr>
              <w:jc w:val="center"/>
              <w:rPr>
                <w:rFonts w:hint="eastAsia" w:ascii="宋体" w:hAnsi="宋体" w:eastAsia="宋体" w:cs="宋体"/>
                <w:i w:val="0"/>
                <w:color w:val="auto"/>
                <w:sz w:val="18"/>
                <w:szCs w:val="18"/>
                <w:u w:val="none"/>
              </w:rPr>
            </w:pPr>
          </w:p>
        </w:tc>
        <w:tc>
          <w:tcPr>
            <w:tcW w:w="1076"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093"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7"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89"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978"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2762"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721" w:type="dxa"/>
            <w:tcBorders>
              <w:top w:val="single" w:color="000000" w:sz="4" w:space="0"/>
              <w:left w:val="single" w:color="000000" w:sz="4" w:space="0"/>
            </w:tcBorders>
            <w:shd w:val="clear" w:color="auto" w:fill="FFFFFF"/>
            <w:vAlign w:val="center"/>
          </w:tcPr>
          <w:p>
            <w:pPr>
              <w:jc w:val="center"/>
              <w:rPr>
                <w:rFonts w:hint="eastAsia" w:ascii="宋体" w:hAnsi="宋体" w:eastAsia="宋体" w:cs="宋体"/>
                <w:i w:val="0"/>
                <w:color w:val="auto"/>
                <w:sz w:val="18"/>
                <w:szCs w:val="18"/>
                <w:u w:val="none"/>
              </w:rPr>
            </w:pPr>
          </w:p>
        </w:tc>
        <w:tc>
          <w:tcPr>
            <w:tcW w:w="1076"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093"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7"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489"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978"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2762"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721" w:type="dxa"/>
            <w:tcBorders>
              <w:top w:val="single" w:color="000000" w:sz="4" w:space="0"/>
              <w:left w:val="single" w:color="000000" w:sz="4" w:space="0"/>
            </w:tcBorders>
            <w:shd w:val="clear" w:color="auto" w:fill="FFFFFF"/>
            <w:vAlign w:val="center"/>
          </w:tcPr>
          <w:p>
            <w:pPr>
              <w:jc w:val="center"/>
              <w:rPr>
                <w:rFonts w:hint="eastAsia" w:ascii="宋体" w:hAnsi="宋体" w:eastAsia="宋体" w:cs="宋体"/>
                <w:i w:val="0"/>
                <w:color w:val="auto"/>
                <w:sz w:val="18"/>
                <w:szCs w:val="18"/>
                <w:u w:val="none"/>
              </w:rPr>
            </w:pPr>
          </w:p>
        </w:tc>
        <w:tc>
          <w:tcPr>
            <w:tcW w:w="1076"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093"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7"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489"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978"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2762"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721" w:type="dxa"/>
            <w:tcBorders>
              <w:top w:val="single" w:color="000000" w:sz="4" w:space="0"/>
              <w:left w:val="single" w:color="000000" w:sz="4" w:space="0"/>
            </w:tcBorders>
            <w:shd w:val="clear" w:color="auto" w:fill="FFFFFF"/>
            <w:vAlign w:val="center"/>
          </w:tcPr>
          <w:p>
            <w:pPr>
              <w:jc w:val="center"/>
              <w:rPr>
                <w:rFonts w:hint="eastAsia" w:ascii="宋体" w:hAnsi="宋体" w:eastAsia="宋体" w:cs="宋体"/>
                <w:i w:val="0"/>
                <w:color w:val="auto"/>
                <w:sz w:val="18"/>
                <w:szCs w:val="18"/>
                <w:u w:val="none"/>
              </w:rPr>
            </w:pPr>
          </w:p>
        </w:tc>
        <w:tc>
          <w:tcPr>
            <w:tcW w:w="1076"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093"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7"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89"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978"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2762"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721" w:type="dxa"/>
            <w:tcBorders>
              <w:top w:val="single" w:color="000000" w:sz="4" w:space="0"/>
              <w:left w:val="single" w:color="000000" w:sz="4" w:space="0"/>
            </w:tcBorders>
            <w:shd w:val="clear" w:color="auto" w:fill="FFFFFF"/>
            <w:vAlign w:val="center"/>
          </w:tcPr>
          <w:p>
            <w:pPr>
              <w:jc w:val="center"/>
              <w:rPr>
                <w:rFonts w:hint="eastAsia" w:ascii="宋体" w:hAnsi="宋体" w:eastAsia="宋体" w:cs="宋体"/>
                <w:i w:val="0"/>
                <w:color w:val="auto"/>
                <w:sz w:val="18"/>
                <w:szCs w:val="18"/>
                <w:u w:val="none"/>
              </w:rPr>
            </w:pPr>
          </w:p>
        </w:tc>
        <w:tc>
          <w:tcPr>
            <w:tcW w:w="1076"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093"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7"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489"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978"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2762"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721" w:type="dxa"/>
            <w:tcBorders>
              <w:top w:val="single" w:color="000000" w:sz="4" w:space="0"/>
              <w:left w:val="single" w:color="000000" w:sz="4" w:space="0"/>
            </w:tcBorders>
            <w:shd w:val="clear" w:color="auto" w:fill="FFFFFF"/>
            <w:vAlign w:val="center"/>
          </w:tcPr>
          <w:p>
            <w:pPr>
              <w:jc w:val="center"/>
              <w:rPr>
                <w:rFonts w:hint="eastAsia" w:ascii="宋体" w:hAnsi="宋体" w:eastAsia="宋体" w:cs="宋体"/>
                <w:i w:val="0"/>
                <w:color w:val="auto"/>
                <w:sz w:val="18"/>
                <w:szCs w:val="18"/>
                <w:u w:val="none"/>
              </w:rPr>
            </w:pPr>
          </w:p>
        </w:tc>
        <w:tc>
          <w:tcPr>
            <w:tcW w:w="1076"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093"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7"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489"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978"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2762"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721" w:type="dxa"/>
            <w:tcBorders>
              <w:top w:val="single" w:color="000000" w:sz="4" w:space="0"/>
              <w:left w:val="single" w:color="000000" w:sz="4" w:space="0"/>
            </w:tcBorders>
            <w:shd w:val="clear" w:color="auto" w:fill="FFFFFF"/>
            <w:vAlign w:val="center"/>
          </w:tcPr>
          <w:p>
            <w:pPr>
              <w:jc w:val="center"/>
              <w:rPr>
                <w:rFonts w:hint="eastAsia" w:ascii="宋体" w:hAnsi="宋体" w:eastAsia="宋体" w:cs="宋体"/>
                <w:i w:val="0"/>
                <w:color w:val="auto"/>
                <w:sz w:val="18"/>
                <w:szCs w:val="18"/>
                <w:u w:val="none"/>
              </w:rPr>
            </w:pPr>
          </w:p>
        </w:tc>
        <w:tc>
          <w:tcPr>
            <w:tcW w:w="1076"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093"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7"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489"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978"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2762"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721" w:type="dxa"/>
            <w:tcBorders>
              <w:top w:val="single" w:color="000000" w:sz="4" w:space="0"/>
              <w:left w:val="single" w:color="000000" w:sz="4" w:space="0"/>
            </w:tcBorders>
            <w:shd w:val="clear" w:color="auto" w:fill="FFFFFF"/>
            <w:vAlign w:val="center"/>
          </w:tcPr>
          <w:p>
            <w:pPr>
              <w:jc w:val="center"/>
              <w:rPr>
                <w:rFonts w:hint="eastAsia" w:ascii="宋体" w:hAnsi="宋体" w:eastAsia="宋体" w:cs="宋体"/>
                <w:i w:val="0"/>
                <w:color w:val="auto"/>
                <w:sz w:val="18"/>
                <w:szCs w:val="18"/>
                <w:u w:val="none"/>
              </w:rPr>
            </w:pPr>
          </w:p>
        </w:tc>
        <w:tc>
          <w:tcPr>
            <w:tcW w:w="1076"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093"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7"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489"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978"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2762"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721" w:type="dxa"/>
            <w:tcBorders>
              <w:top w:val="single" w:color="000000" w:sz="4" w:space="0"/>
              <w:left w:val="single" w:color="000000" w:sz="4" w:space="0"/>
            </w:tcBorders>
            <w:shd w:val="clear" w:color="auto" w:fill="FFFFFF"/>
            <w:vAlign w:val="center"/>
          </w:tcPr>
          <w:p>
            <w:pPr>
              <w:jc w:val="center"/>
              <w:rPr>
                <w:rFonts w:hint="eastAsia" w:ascii="宋体" w:hAnsi="宋体" w:eastAsia="宋体" w:cs="宋体"/>
                <w:i w:val="0"/>
                <w:color w:val="auto"/>
                <w:sz w:val="18"/>
                <w:szCs w:val="18"/>
                <w:u w:val="none"/>
              </w:rPr>
            </w:pPr>
          </w:p>
        </w:tc>
        <w:tc>
          <w:tcPr>
            <w:tcW w:w="1076"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093"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7"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489"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978"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2762"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721" w:type="dxa"/>
            <w:tcBorders>
              <w:top w:val="single" w:color="000000" w:sz="4" w:space="0"/>
              <w:left w:val="single" w:color="000000" w:sz="4" w:space="0"/>
            </w:tcBorders>
            <w:shd w:val="clear" w:color="auto" w:fill="FFFFFF"/>
            <w:vAlign w:val="center"/>
          </w:tcPr>
          <w:p>
            <w:pPr>
              <w:jc w:val="center"/>
              <w:rPr>
                <w:rFonts w:hint="eastAsia" w:ascii="宋体" w:hAnsi="宋体" w:eastAsia="宋体" w:cs="宋体"/>
                <w:i w:val="0"/>
                <w:color w:val="auto"/>
                <w:sz w:val="18"/>
                <w:szCs w:val="18"/>
                <w:u w:val="none"/>
              </w:rPr>
            </w:pPr>
          </w:p>
        </w:tc>
        <w:tc>
          <w:tcPr>
            <w:tcW w:w="1076"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093"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7"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89"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978"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2762"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721" w:type="dxa"/>
            <w:tcBorders>
              <w:top w:val="single" w:color="000000" w:sz="4" w:space="0"/>
              <w:left w:val="single" w:color="000000" w:sz="4" w:space="0"/>
            </w:tcBorders>
            <w:shd w:val="clear" w:color="auto" w:fill="FFFFFF"/>
            <w:vAlign w:val="center"/>
          </w:tcPr>
          <w:p>
            <w:pPr>
              <w:jc w:val="center"/>
              <w:rPr>
                <w:rFonts w:hint="eastAsia" w:ascii="宋体" w:hAnsi="宋体" w:eastAsia="宋体" w:cs="宋体"/>
                <w:i w:val="0"/>
                <w:color w:val="auto"/>
                <w:sz w:val="18"/>
                <w:szCs w:val="18"/>
                <w:u w:val="none"/>
              </w:rPr>
            </w:pPr>
          </w:p>
        </w:tc>
        <w:tc>
          <w:tcPr>
            <w:tcW w:w="1076"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093"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7"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489"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978"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2762"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721" w:type="dxa"/>
            <w:tcBorders>
              <w:top w:val="single" w:color="000000" w:sz="4" w:space="0"/>
              <w:left w:val="single" w:color="000000" w:sz="4" w:space="0"/>
            </w:tcBorders>
            <w:shd w:val="clear" w:color="auto" w:fill="FFFFFF"/>
            <w:vAlign w:val="center"/>
          </w:tcPr>
          <w:p>
            <w:pPr>
              <w:jc w:val="center"/>
              <w:rPr>
                <w:rFonts w:hint="eastAsia" w:ascii="宋体" w:hAnsi="宋体" w:eastAsia="宋体" w:cs="宋体"/>
                <w:i w:val="0"/>
                <w:color w:val="auto"/>
                <w:sz w:val="18"/>
                <w:szCs w:val="18"/>
                <w:u w:val="none"/>
              </w:rPr>
            </w:pPr>
          </w:p>
        </w:tc>
        <w:tc>
          <w:tcPr>
            <w:tcW w:w="1076"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093"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7"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119" w:type="dxa"/>
            <w:gridSpan w:val="6"/>
            <w:tcBorders>
              <w:top w:val="single" w:color="000000" w:sz="4" w:space="0"/>
              <w:left w:val="single" w:color="000000" w:sz="4" w:space="0"/>
            </w:tcBorders>
            <w:shd w:val="clear" w:color="auto" w:fill="FFFFFF"/>
            <w:vAlign w:val="center"/>
          </w:tcPr>
          <w:p>
            <w:pPr>
              <w:jc w:val="center"/>
              <w:rPr>
                <w:rFonts w:hint="eastAsia" w:ascii="宋体" w:hAnsi="宋体" w:eastAsia="宋体" w:cs="宋体"/>
                <w:i w:val="0"/>
                <w:color w:val="auto"/>
                <w:sz w:val="18"/>
                <w:szCs w:val="18"/>
                <w:u w:val="none"/>
              </w:rPr>
            </w:pPr>
          </w:p>
        </w:tc>
        <w:tc>
          <w:tcPr>
            <w:tcW w:w="1277"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119" w:type="dxa"/>
            <w:gridSpan w:val="6"/>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合    计</w:t>
            </w:r>
          </w:p>
        </w:tc>
        <w:tc>
          <w:tcPr>
            <w:tcW w:w="1277" w:type="dxa"/>
            <w:tcBorders>
              <w:top w:val="single" w:color="000000" w:sz="4" w:space="0"/>
              <w:left w:val="single" w:color="000000" w:sz="4" w:space="0"/>
              <w:bottom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color w:val="auto"/>
                <w:sz w:val="20"/>
                <w:szCs w:val="20"/>
                <w:u w:val="none"/>
              </w:rPr>
            </w:pPr>
          </w:p>
        </w:tc>
      </w:tr>
    </w:tbl>
    <w:p>
      <w:pPr>
        <w:pStyle w:val="2"/>
        <w:rPr>
          <w:color w:val="auto"/>
        </w:rPr>
      </w:pPr>
    </w:p>
    <w:p>
      <w:pPr>
        <w:pStyle w:val="9"/>
        <w:keepNext/>
        <w:pageBreakBefore/>
        <w:spacing w:before="0" w:after="0" w:line="560" w:lineRule="exact"/>
        <w:rPr>
          <w:color w:val="auto"/>
        </w:rPr>
      </w:pPr>
      <w:bookmarkStart w:id="17" w:name="_Toc17683"/>
      <w:bookmarkStart w:id="18" w:name="_Toc23300"/>
      <w:bookmarkStart w:id="19" w:name="_Toc448097409"/>
      <w:bookmarkStart w:id="20" w:name="_Toc275274581"/>
      <w:r>
        <w:rPr>
          <w:rFonts w:hint="eastAsia"/>
          <w:color w:val="auto"/>
        </w:rPr>
        <w:t>第五章</w:t>
      </w:r>
      <w:r>
        <w:rPr>
          <w:color w:val="auto"/>
        </w:rPr>
        <w:t xml:space="preserve"> </w:t>
      </w:r>
      <w:r>
        <w:rPr>
          <w:rFonts w:hint="eastAsia"/>
          <w:color w:val="auto"/>
        </w:rPr>
        <w:t>技术标准及要求</w:t>
      </w:r>
      <w:bookmarkEnd w:id="17"/>
      <w:bookmarkEnd w:id="18"/>
    </w:p>
    <w:p>
      <w:pPr>
        <w:adjustRightInd w:val="0"/>
        <w:snapToGrid w:val="0"/>
        <w:spacing w:line="36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一、总体要求</w:t>
      </w:r>
    </w:p>
    <w:p>
      <w:pPr>
        <w:adjustRightInd w:val="0"/>
        <w:snapToGrid w:val="0"/>
        <w:spacing w:line="36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招标范围：主要工作内容具体详见工程量清单</w:t>
      </w:r>
    </w:p>
    <w:p>
      <w:pPr>
        <w:adjustRightInd w:val="0"/>
        <w:snapToGrid w:val="0"/>
        <w:spacing w:line="36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施工前应做好施工技术方案或施工组织设计，并经批准后进行施工。施工前应按设计要求进行定位放线，并对测量基线，水准基点等进行复核。施工中必须作好施工记录，并及时处理好施工中出现的问题。严格做好施工场地及周边的文明施工和环境保护工作。做好与施工现场各专业施工队伍的配合工作。</w:t>
      </w:r>
    </w:p>
    <w:p>
      <w:pPr>
        <w:adjustRightInd w:val="0"/>
        <w:snapToGrid w:val="0"/>
        <w:spacing w:line="36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 依据技术文件要求，本工程项目的施工必须达到以下现行中华人民共和国及省、市、行业的一切有关法规、规范的要求，如下述标准及规范要求有出入则以较严格者为准。</w:t>
      </w:r>
    </w:p>
    <w:p>
      <w:pPr>
        <w:adjustRightInd w:val="0"/>
        <w:snapToGrid w:val="0"/>
        <w:spacing w:line="36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1.1.1适用法律、法规名称：</w:t>
      </w:r>
    </w:p>
    <w:p>
      <w:pPr>
        <w:adjustRightInd w:val="0"/>
        <w:snapToGrid w:val="0"/>
        <w:spacing w:line="36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中华人民共和国建筑法</w:t>
      </w:r>
    </w:p>
    <w:p>
      <w:pPr>
        <w:adjustRightInd w:val="0"/>
        <w:snapToGrid w:val="0"/>
        <w:spacing w:line="36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中华人民共和国民法典</w:t>
      </w:r>
    </w:p>
    <w:p>
      <w:pPr>
        <w:adjustRightInd w:val="0"/>
        <w:snapToGrid w:val="0"/>
        <w:spacing w:line="36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中华人民共和国招标投标法</w:t>
      </w:r>
    </w:p>
    <w:p>
      <w:pPr>
        <w:adjustRightInd w:val="0"/>
        <w:snapToGrid w:val="0"/>
        <w:spacing w:line="36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建设工程质量管理条例（国务院279号令）</w:t>
      </w:r>
    </w:p>
    <w:p>
      <w:pPr>
        <w:adjustRightInd w:val="0"/>
        <w:snapToGrid w:val="0"/>
        <w:spacing w:line="360" w:lineRule="exact"/>
        <w:ind w:firstLine="560" w:firstLineChars="200"/>
        <w:jc w:val="left"/>
        <w:rPr>
          <w:rFonts w:ascii="仿宋_GB2312" w:hAnsi="仿宋_GB2312" w:eastAsia="仿宋_GB2312" w:cs="仿宋_GB2312"/>
          <w:color w:val="auto"/>
          <w:sz w:val="28"/>
          <w:szCs w:val="28"/>
        </w:rPr>
      </w:pPr>
      <w:bookmarkStart w:id="21" w:name="_Toc66769198"/>
      <w:r>
        <w:rPr>
          <w:rFonts w:hint="eastAsia" w:ascii="仿宋_GB2312" w:hAnsi="仿宋_GB2312" w:eastAsia="仿宋_GB2312" w:cs="仿宋_GB2312"/>
          <w:color w:val="auto"/>
          <w:sz w:val="28"/>
          <w:szCs w:val="28"/>
        </w:rPr>
        <w:t>二、材料要求</w:t>
      </w:r>
    </w:p>
    <w:p>
      <w:pPr>
        <w:adjustRightInd w:val="0"/>
        <w:snapToGrid w:val="0"/>
        <w:spacing w:line="36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2.1工程材料选择</w:t>
      </w:r>
    </w:p>
    <w:p>
      <w:pPr>
        <w:adjustRightInd w:val="0"/>
        <w:snapToGrid w:val="0"/>
        <w:spacing w:line="36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（1）设备材料选择 </w:t>
      </w:r>
    </w:p>
    <w:p>
      <w:pPr>
        <w:widowControl/>
        <w:tabs>
          <w:tab w:val="left" w:pos="720"/>
        </w:tabs>
        <w:snapToGrid w:val="0"/>
        <w:spacing w:line="360" w:lineRule="exact"/>
        <w:ind w:firstLine="560" w:firstLineChars="200"/>
        <w:jc w:val="left"/>
        <w:rPr>
          <w:rFonts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zh-CN"/>
        </w:rPr>
        <w:t>1)招标人有材料品牌要求的，投标人应按招标文件推荐品牌要求填报，所有未根据要求而未填报或漏填报品牌的投标文件在中标后，招标人有权在推荐品牌中指定任一品牌作为施工使用品牌且中标人不得有异议，价格不变；投标人在投标文件中若提供了招标人推荐品牌外的产品，应同时提供相当于招标人推荐品牌产品的证明材料。</w:t>
      </w:r>
    </w:p>
    <w:p>
      <w:pPr>
        <w:widowControl/>
        <w:tabs>
          <w:tab w:val="left" w:pos="720"/>
        </w:tabs>
        <w:snapToGrid w:val="0"/>
        <w:spacing w:line="360" w:lineRule="exact"/>
        <w:ind w:firstLine="560" w:firstLineChars="200"/>
        <w:jc w:val="left"/>
        <w:rPr>
          <w:rFonts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2)招标人推荐的品牌详见“</w:t>
      </w:r>
      <w:r>
        <w:rPr>
          <w:rFonts w:hint="eastAsia" w:ascii="仿宋_GB2312" w:hAnsi="仿宋_GB2312" w:eastAsia="仿宋_GB2312" w:cs="仿宋_GB2312"/>
          <w:color w:val="auto"/>
          <w:sz w:val="28"/>
          <w:szCs w:val="28"/>
        </w:rPr>
        <w:t>主要材料设备推荐品牌一览表</w:t>
      </w:r>
      <w:r>
        <w:rPr>
          <w:rFonts w:hint="eastAsia" w:ascii="仿宋_GB2312" w:hAnsi="仿宋_GB2312" w:eastAsia="仿宋_GB2312" w:cs="仿宋_GB2312"/>
          <w:color w:val="auto"/>
          <w:sz w:val="28"/>
          <w:szCs w:val="28"/>
          <w:lang w:val="zh-CN"/>
        </w:rPr>
        <w:t>”中内容。</w:t>
      </w:r>
    </w:p>
    <w:p>
      <w:pPr>
        <w:widowControl/>
        <w:tabs>
          <w:tab w:val="left" w:pos="720"/>
        </w:tabs>
        <w:snapToGrid w:val="0"/>
        <w:spacing w:line="360" w:lineRule="exact"/>
        <w:jc w:val="center"/>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主要材料设备推荐品牌一览表</w:t>
      </w:r>
    </w:p>
    <w:tbl>
      <w:tblPr>
        <w:tblStyle w:val="12"/>
        <w:tblW w:w="98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2223"/>
        <w:gridCol w:w="6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376" w:type="dxa"/>
          </w:tcPr>
          <w:p>
            <w:pPr>
              <w:widowControl/>
              <w:tabs>
                <w:tab w:val="left" w:pos="720"/>
              </w:tabs>
              <w:snapToGrid w:val="0"/>
              <w:spacing w:line="3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序号</w:t>
            </w:r>
          </w:p>
        </w:tc>
        <w:tc>
          <w:tcPr>
            <w:tcW w:w="2223" w:type="dxa"/>
          </w:tcPr>
          <w:p>
            <w:pPr>
              <w:snapToGrid w:val="0"/>
              <w:spacing w:line="3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材料</w:t>
            </w:r>
          </w:p>
        </w:tc>
        <w:tc>
          <w:tcPr>
            <w:tcW w:w="6256" w:type="dxa"/>
          </w:tcPr>
          <w:p>
            <w:pPr>
              <w:snapToGrid w:val="0"/>
              <w:spacing w:line="3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376" w:type="dxa"/>
          </w:tcPr>
          <w:p>
            <w:pPr>
              <w:snapToGrid w:val="0"/>
              <w:spacing w:line="3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p>
        </w:tc>
        <w:tc>
          <w:tcPr>
            <w:tcW w:w="2223" w:type="dxa"/>
          </w:tcPr>
          <w:p>
            <w:pPr>
              <w:snapToGrid w:val="0"/>
              <w:spacing w:line="360" w:lineRule="exact"/>
              <w:jc w:val="center"/>
              <w:rPr>
                <w:rFonts w:ascii="仿宋_GB2312" w:hAnsi="仿宋_GB2312" w:eastAsia="仿宋_GB2312" w:cs="仿宋_GB2312"/>
                <w:bCs/>
                <w:color w:val="auto"/>
                <w:sz w:val="28"/>
                <w:szCs w:val="28"/>
              </w:rPr>
            </w:pPr>
            <w:r>
              <w:rPr>
                <w:rFonts w:hint="eastAsia" w:ascii="仿宋_GB2312" w:hAnsi="仿宋_GB2312" w:eastAsia="仿宋_GB2312" w:cs="仿宋_GB2312"/>
                <w:color w:val="auto"/>
                <w:sz w:val="28"/>
                <w:szCs w:val="28"/>
                <w:lang w:val="en-US" w:eastAsia="zh-CN"/>
              </w:rPr>
              <w:t>电线、</w:t>
            </w:r>
            <w:r>
              <w:rPr>
                <w:rFonts w:hint="eastAsia" w:ascii="仿宋_GB2312" w:hAnsi="仿宋_GB2312" w:eastAsia="仿宋_GB2312" w:cs="仿宋_GB2312"/>
                <w:color w:val="auto"/>
                <w:sz w:val="28"/>
                <w:szCs w:val="28"/>
              </w:rPr>
              <w:t>电缆</w:t>
            </w:r>
          </w:p>
        </w:tc>
        <w:tc>
          <w:tcPr>
            <w:tcW w:w="6256" w:type="dxa"/>
          </w:tcPr>
          <w:p>
            <w:pPr>
              <w:snapToGrid w:val="0"/>
              <w:spacing w:line="360" w:lineRule="exact"/>
              <w:jc w:val="center"/>
              <w:rPr>
                <w:rFonts w:ascii="仿宋_GB2312" w:hAnsi="仿宋_GB2312" w:eastAsia="仿宋_GB2312" w:cs="仿宋_GB2312"/>
                <w:bCs/>
                <w:color w:val="auto"/>
                <w:sz w:val="28"/>
                <w:szCs w:val="28"/>
              </w:rPr>
            </w:pPr>
            <w:r>
              <w:rPr>
                <w:rFonts w:hint="eastAsia" w:ascii="仿宋_GB2312" w:hAnsi="仿宋_GB2312" w:eastAsia="仿宋_GB2312" w:cs="仿宋_GB2312"/>
                <w:color w:val="auto"/>
                <w:sz w:val="28"/>
                <w:szCs w:val="28"/>
              </w:rPr>
              <w:t>远东电缆、中大元通、浙江万马或“相当于”品牌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376" w:type="dxa"/>
          </w:tcPr>
          <w:p>
            <w:pPr>
              <w:snapToGrid w:val="0"/>
              <w:spacing w:line="3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p>
        </w:tc>
        <w:tc>
          <w:tcPr>
            <w:tcW w:w="2223" w:type="dxa"/>
          </w:tcPr>
          <w:p>
            <w:pPr>
              <w:snapToGrid w:val="0"/>
              <w:spacing w:line="3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86型明盒、插座</w:t>
            </w:r>
          </w:p>
        </w:tc>
        <w:tc>
          <w:tcPr>
            <w:tcW w:w="6256" w:type="dxa"/>
          </w:tcPr>
          <w:p>
            <w:pPr>
              <w:snapToGrid w:val="0"/>
              <w:spacing w:line="3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鸿雁、公牛、德力西或“相当于”品牌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376" w:type="dxa"/>
          </w:tcPr>
          <w:p>
            <w:pPr>
              <w:snapToGrid w:val="0"/>
              <w:spacing w:line="3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w:t>
            </w:r>
          </w:p>
        </w:tc>
        <w:tc>
          <w:tcPr>
            <w:tcW w:w="2223" w:type="dxa"/>
          </w:tcPr>
          <w:p>
            <w:pPr>
              <w:snapToGrid w:val="0"/>
              <w:spacing w:line="3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空开</w:t>
            </w:r>
          </w:p>
        </w:tc>
        <w:tc>
          <w:tcPr>
            <w:tcW w:w="6256" w:type="dxa"/>
          </w:tcPr>
          <w:p>
            <w:pPr>
              <w:snapToGrid w:val="0"/>
              <w:spacing w:line="3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bCs/>
                <w:color w:val="auto"/>
                <w:sz w:val="28"/>
                <w:szCs w:val="28"/>
              </w:rPr>
              <w:t>施耐德、西门子、ABB或“相当于”品牌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376" w:type="dxa"/>
          </w:tcPr>
          <w:p>
            <w:pPr>
              <w:snapToGrid w:val="0"/>
              <w:spacing w:line="360" w:lineRule="exact"/>
              <w:jc w:val="cente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4</w:t>
            </w:r>
          </w:p>
        </w:tc>
        <w:tc>
          <w:tcPr>
            <w:tcW w:w="2223" w:type="dxa"/>
          </w:tcPr>
          <w:p>
            <w:pPr>
              <w:snapToGrid w:val="0"/>
              <w:spacing w:line="3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PVC线</w:t>
            </w:r>
            <w:r>
              <w:rPr>
                <w:rFonts w:hint="eastAsia" w:ascii="仿宋_GB2312" w:hAnsi="仿宋_GB2312" w:eastAsia="仿宋_GB2312" w:cs="仿宋_GB2312"/>
                <w:color w:val="auto"/>
                <w:sz w:val="28"/>
                <w:szCs w:val="28"/>
                <w:lang w:val="en-US" w:eastAsia="zh-CN"/>
              </w:rPr>
              <w:t>管</w:t>
            </w:r>
          </w:p>
        </w:tc>
        <w:tc>
          <w:tcPr>
            <w:tcW w:w="6256" w:type="dxa"/>
          </w:tcPr>
          <w:p>
            <w:pPr>
              <w:snapToGrid w:val="0"/>
              <w:spacing w:line="3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bCs/>
                <w:color w:val="auto"/>
                <w:sz w:val="28"/>
                <w:szCs w:val="28"/>
              </w:rPr>
              <w:t>中财、公元、伟星或“相当于”品牌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376" w:type="dxa"/>
          </w:tcPr>
          <w:p>
            <w:pPr>
              <w:snapToGrid w:val="0"/>
              <w:spacing w:line="360" w:lineRule="exact"/>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5</w:t>
            </w:r>
          </w:p>
        </w:tc>
        <w:tc>
          <w:tcPr>
            <w:tcW w:w="2223" w:type="dxa"/>
          </w:tcPr>
          <w:p>
            <w:pPr>
              <w:snapToGrid w:val="0"/>
              <w:spacing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i w:val="0"/>
                <w:color w:val="auto"/>
                <w:kern w:val="0"/>
                <w:sz w:val="28"/>
                <w:szCs w:val="28"/>
                <w:u w:val="none"/>
                <w:lang w:val="en-US" w:eastAsia="zh-CN" w:bidi="ar"/>
              </w:rPr>
              <w:t>LED支架灯</w:t>
            </w:r>
          </w:p>
        </w:tc>
        <w:tc>
          <w:tcPr>
            <w:tcW w:w="6256" w:type="dxa"/>
          </w:tcPr>
          <w:p>
            <w:pPr>
              <w:snapToGrid w:val="0"/>
              <w:spacing w:line="360" w:lineRule="exact"/>
              <w:jc w:val="center"/>
              <w:rPr>
                <w:rFonts w:hint="eastAsia" w:ascii="仿宋_GB2312" w:hAnsi="仿宋_GB2312" w:eastAsia="仿宋_GB2312" w:cs="仿宋_GB2312"/>
                <w:bCs/>
                <w:color w:val="auto"/>
                <w:sz w:val="28"/>
                <w:szCs w:val="28"/>
              </w:rPr>
            </w:pPr>
            <w:r>
              <w:rPr>
                <w:rFonts w:hint="eastAsia" w:ascii="仿宋_GB2312" w:hAnsi="仿宋_GB2312" w:eastAsia="仿宋_GB2312" w:cs="仿宋_GB2312"/>
                <w:color w:val="auto"/>
                <w:sz w:val="28"/>
                <w:szCs w:val="28"/>
                <w:highlight w:val="none"/>
                <w:lang w:val="en-US" w:eastAsia="zh-CN" w:bidi="ar"/>
              </w:rPr>
              <w:t>雷士、欧普、三雄极光</w:t>
            </w:r>
            <w:r>
              <w:rPr>
                <w:rFonts w:hint="eastAsia" w:ascii="仿宋_GB2312" w:hAnsi="仿宋_GB2312" w:eastAsia="仿宋_GB2312" w:cs="仿宋_GB2312"/>
                <w:bCs/>
                <w:color w:val="auto"/>
                <w:sz w:val="28"/>
                <w:szCs w:val="28"/>
              </w:rPr>
              <w:t>或“相当于”品牌</w:t>
            </w:r>
          </w:p>
        </w:tc>
      </w:tr>
    </w:tbl>
    <w:p>
      <w:pPr>
        <w:widowControl/>
        <w:tabs>
          <w:tab w:val="left" w:pos="720"/>
        </w:tabs>
        <w:snapToGrid w:val="0"/>
        <w:spacing w:line="36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3)所用各类设备材料须经招标人认可后方可使用。</w:t>
      </w:r>
      <w:r>
        <w:rPr>
          <w:rFonts w:hint="eastAsia" w:ascii="仿宋_GB2312" w:hAnsi="仿宋_GB2312" w:eastAsia="仿宋_GB2312" w:cs="仿宋_GB2312"/>
          <w:color w:val="auto"/>
          <w:sz w:val="28"/>
          <w:szCs w:val="28"/>
        </w:rPr>
        <w:t>投标单位主要设备材料品牌漏填或少填的，中标后由招标人在推荐品牌中选定，且报价不作调整。</w:t>
      </w:r>
    </w:p>
    <w:p>
      <w:pPr>
        <w:snapToGrid w:val="0"/>
        <w:spacing w:line="36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4）所用各类设备材料都应符合设计和国家规定的相关技术规范标准要求。 </w:t>
      </w:r>
    </w:p>
    <w:p>
      <w:pPr>
        <w:snapToGrid w:val="0"/>
        <w:spacing w:line="36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5）所用各类设备材料均有质量合格证书。</w:t>
      </w:r>
    </w:p>
    <w:p>
      <w:pPr>
        <w:widowControl/>
        <w:tabs>
          <w:tab w:val="left" w:pos="720"/>
        </w:tabs>
        <w:snapToGrid w:val="0"/>
        <w:spacing w:line="36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6）中标人在选定品牌或制造商时应充分考虑供货等风险，若中标人选定品牌或制造商在实施时无法供货或无法正常供货，将由招标人在推荐品牌或制造商中予以指定。</w:t>
      </w:r>
    </w:p>
    <w:p>
      <w:pPr>
        <w:adjustRightInd w:val="0"/>
        <w:snapToGrid w:val="0"/>
        <w:spacing w:line="36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（2）设备材料的质量保证 </w:t>
      </w:r>
    </w:p>
    <w:p>
      <w:pPr>
        <w:adjustRightInd w:val="0"/>
        <w:snapToGrid w:val="0"/>
        <w:spacing w:line="36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1）在施工期间内，中标人对有缺陷的部位必须无偿地给予修正，并承担一切由此引起的对招标人或第三者的直接损失，除非该缺陷是由于人为破坏或合同规定的不可抗因素造成的损坏。 </w:t>
      </w:r>
    </w:p>
    <w:p>
      <w:pPr>
        <w:adjustRightInd w:val="0"/>
        <w:snapToGrid w:val="0"/>
        <w:spacing w:line="36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中标人应对所选用的设备材料的技术满足度和质量负全部责任，其责任不因该品牌是否为招标人推荐减轻或更改。当中标人选定的产品质量达不到设计要求和招标文件要求的技术指标时，招标人保留更换的权利，且中标价不予调整。</w:t>
      </w:r>
    </w:p>
    <w:p>
      <w:pPr>
        <w:adjustRightInd w:val="0"/>
        <w:snapToGrid w:val="0"/>
        <w:spacing w:line="36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未列入以上品牌推荐表的其它材料和设备，投标人在投标报价时应选择国内优质成熟的产品，施工时需得到招标人的认可，如中标人选定的产品不能满足以上要求，招标人保留更换的权利，且中标价不予调整。</w:t>
      </w:r>
    </w:p>
    <w:p>
      <w:pPr>
        <w:adjustRightInd w:val="0"/>
        <w:snapToGrid w:val="0"/>
        <w:spacing w:line="360" w:lineRule="exact"/>
        <w:ind w:firstLine="560" w:firstLineChars="200"/>
        <w:jc w:val="left"/>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（3）施工过程中如涉及需拆除原有材料设备（除需利旧的材料设备外），由中标人自行处理，其残值及处置相关费用，由投标人综合考虑，包含在投标报价中。</w:t>
      </w:r>
    </w:p>
    <w:p>
      <w:pPr>
        <w:adjustRightInd w:val="0"/>
        <w:snapToGrid w:val="0"/>
        <w:spacing w:line="36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三、施工</w:t>
      </w:r>
    </w:p>
    <w:p>
      <w:pPr>
        <w:adjustRightInd w:val="0"/>
        <w:snapToGrid w:val="0"/>
        <w:spacing w:line="36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3.1一般要求</w:t>
      </w:r>
    </w:p>
    <w:p>
      <w:pPr>
        <w:adjustRightInd w:val="0"/>
        <w:snapToGrid w:val="0"/>
        <w:spacing w:line="36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中标人必须按照工程量清单及技术规范进行施工，严格按照批准的施工技术方案和施工组织设计进行施工，力争做到“一流的施工管理，一流的工程质量”；同时施工组织实施须遵守机场相关规定要求。</w:t>
      </w:r>
    </w:p>
    <w:p>
      <w:pPr>
        <w:adjustRightInd w:val="0"/>
        <w:snapToGrid w:val="0"/>
        <w:spacing w:line="36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3.2施工准备</w:t>
      </w:r>
    </w:p>
    <w:p>
      <w:pPr>
        <w:adjustRightInd w:val="0"/>
        <w:snapToGrid w:val="0"/>
        <w:spacing w:line="36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中标人应在开工前依施工现场情况合理制定施工技术方案和施工组织设计，在服从招标人的安排和总进度计划要求情况下制定施工方案，并按招标人批准的施工方案组织施工。</w:t>
      </w:r>
    </w:p>
    <w:p>
      <w:pPr>
        <w:adjustRightInd w:val="0"/>
        <w:snapToGrid w:val="0"/>
        <w:spacing w:line="36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3.3施工质量</w:t>
      </w:r>
    </w:p>
    <w:p>
      <w:pPr>
        <w:adjustRightInd w:val="0"/>
        <w:snapToGrid w:val="0"/>
        <w:spacing w:line="36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3.3.1工程施工质量控制</w:t>
      </w:r>
    </w:p>
    <w:p>
      <w:pPr>
        <w:adjustRightInd w:val="0"/>
        <w:snapToGrid w:val="0"/>
        <w:spacing w:line="36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（1）为了保证工程施工质量，投标单位必须建立完善的全面质量管理体系（GB/T1900），对工程施工生产进行全过程、全方位的质量监督、检查与控制。</w:t>
      </w:r>
    </w:p>
    <w:p>
      <w:pPr>
        <w:adjustRightInd w:val="0"/>
        <w:snapToGrid w:val="0"/>
        <w:spacing w:line="36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（2）施工阶段质量控制包括事前的各项施工准备工作质量控制，施工过程中的质量控制，以及各单项工程及整个工程项目完工后对建筑施工及安装产品质量的事后控制。</w:t>
      </w:r>
    </w:p>
    <w:p>
      <w:pPr>
        <w:adjustRightInd w:val="0"/>
        <w:snapToGrid w:val="0"/>
        <w:spacing w:line="36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（3）依据国家及政府有关部门颁布的有关质量管理的法律、法规、标准等，严格控制施工工序质量以及检验和评定工程项目质量。</w:t>
      </w:r>
    </w:p>
    <w:p>
      <w:pPr>
        <w:adjustRightInd w:val="0"/>
        <w:snapToGrid w:val="0"/>
        <w:spacing w:line="36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3.3.2现场质量监督</w:t>
      </w:r>
    </w:p>
    <w:p>
      <w:pPr>
        <w:adjustRightInd w:val="0"/>
        <w:snapToGrid w:val="0"/>
        <w:spacing w:line="36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（1）中标人在施工过程中，必须无条件地接受招标人的检查和监督，并执行招标人发出的指令，确保工程质量符合设计要求及相关规范、标准的规定。</w:t>
      </w:r>
    </w:p>
    <w:p>
      <w:pPr>
        <w:adjustRightInd w:val="0"/>
        <w:snapToGrid w:val="0"/>
        <w:spacing w:line="36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（2）工程中使用的材料均应符合相应技术要求，并符合招标人的指示要求，或在现场进行检验。</w:t>
      </w:r>
    </w:p>
    <w:p>
      <w:pPr>
        <w:adjustRightInd w:val="0"/>
        <w:snapToGrid w:val="0"/>
        <w:spacing w:line="36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没有招标人的批准，隐蔽工程的任何部分均不得覆盖或使之无法查看。中标人应保证招标人有充分的时间，对隐蔽工程进行检查和测量。无论何时，当工程的任何部分已经做好检查准备时，中标人应通知招标人进行检查。</w:t>
      </w:r>
    </w:p>
    <w:p>
      <w:pPr>
        <w:adjustRightInd w:val="0"/>
        <w:snapToGrid w:val="0"/>
        <w:spacing w:line="36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（4）招标人有权随时对下述事项发出指示：</w:t>
      </w:r>
    </w:p>
    <w:p>
      <w:pPr>
        <w:adjustRightInd w:val="0"/>
        <w:snapToGrid w:val="0"/>
        <w:spacing w:line="36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1）在指示规定的时间内，将招标人确认不合格的任何材料从现场运走。</w:t>
      </w:r>
    </w:p>
    <w:p>
      <w:pPr>
        <w:adjustRightInd w:val="0"/>
        <w:snapToGrid w:val="0"/>
        <w:spacing w:line="36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2）在指示规定的时间内，中标人必须将不合格的任何工程拆除并重新施工。</w:t>
      </w:r>
    </w:p>
    <w:p>
      <w:pPr>
        <w:adjustRightInd w:val="0"/>
        <w:snapToGrid w:val="0"/>
        <w:spacing w:line="36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（5）如果中标人在指示规定的时间内未执行上述指示时，则招标人有权雇用他人执行该项指示，所发生的有关费用由中标人负担。</w:t>
      </w:r>
    </w:p>
    <w:p>
      <w:pPr>
        <w:adjustRightInd w:val="0"/>
        <w:snapToGrid w:val="0"/>
        <w:spacing w:line="36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（6）根据招标人的指示，中标人应按招标人认为必要的时间和方式暂停工程或其他任何部分的工作，在暂时停工期间，中标人应对工程进行必要的保护和安全保障。</w:t>
      </w:r>
    </w:p>
    <w:p>
      <w:pPr>
        <w:adjustRightInd w:val="0"/>
        <w:snapToGrid w:val="0"/>
        <w:spacing w:line="36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3.3.3施工偏差要求</w:t>
      </w:r>
    </w:p>
    <w:p>
      <w:pPr>
        <w:adjustRightInd w:val="0"/>
        <w:snapToGrid w:val="0"/>
        <w:spacing w:line="36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中标人需就一切有关之材料和整体结构，必须满足相应的技术标准及规范的规定。若产生施工偏差，中标人必须无条件返工，直至达到相应的技术标准及规范的规定，费用由中标人承担。</w:t>
      </w:r>
    </w:p>
    <w:p>
      <w:pPr>
        <w:adjustRightInd w:val="0"/>
        <w:snapToGrid w:val="0"/>
        <w:spacing w:line="36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3.4检验和验收</w:t>
      </w:r>
    </w:p>
    <w:p>
      <w:pPr>
        <w:adjustRightInd w:val="0"/>
        <w:snapToGrid w:val="0"/>
        <w:spacing w:line="36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招标人有权在本工程施工过程中，进行随时地检查、检验和监督，为合同规定提供的材料进行性能试验。检验工作如果超出了中标人的能力，中标人应安排到第三方（指除招标人、中标人以外的另一方）进行，该第三方必须有检验条件和相应资质。检验工作的任何变化都应征得招标人的书面确认。如果某些试验项目在其他场所进行，</w:t>
      </w:r>
      <w:r>
        <w:rPr>
          <w:rFonts w:hint="eastAsia" w:ascii="仿宋_GB2312" w:hAnsi="仿宋_GB2312" w:eastAsia="仿宋_GB2312" w:cs="仿宋_GB2312"/>
          <w:b/>
          <w:bCs/>
          <w:color w:val="auto"/>
          <w:sz w:val="28"/>
          <w:szCs w:val="28"/>
        </w:rPr>
        <w:t>中标人应替招标人办理进入现场的手续和亲自陪同。</w:t>
      </w:r>
    </w:p>
    <w:p>
      <w:pPr>
        <w:adjustRightInd w:val="0"/>
        <w:snapToGrid w:val="0"/>
        <w:spacing w:line="360" w:lineRule="exact"/>
        <w:ind w:firstLine="560" w:firstLineChars="200"/>
        <w:jc w:val="left"/>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3.5施工管理要求</w:t>
      </w:r>
    </w:p>
    <w:p>
      <w:pPr>
        <w:adjustRightInd w:val="0"/>
        <w:snapToGrid w:val="0"/>
        <w:spacing w:line="360" w:lineRule="exact"/>
        <w:ind w:firstLine="560" w:firstLineChars="200"/>
        <w:jc w:val="left"/>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3.5.1中标人必须服从招标人对于本工程进度、质量、安全施工等要求。</w:t>
      </w:r>
    </w:p>
    <w:p>
      <w:pPr>
        <w:adjustRightInd w:val="0"/>
        <w:snapToGrid w:val="0"/>
        <w:spacing w:line="360" w:lineRule="exact"/>
        <w:ind w:firstLine="560" w:firstLineChars="200"/>
        <w:jc w:val="left"/>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3.5.2本工程发包范围内的工程项目，一律不得分包。一经发现立即取消承包资格，作违约处理，并承担由此引起的一切经济损失。</w:t>
      </w:r>
    </w:p>
    <w:p>
      <w:pPr>
        <w:adjustRightInd w:val="0"/>
        <w:snapToGrid w:val="0"/>
        <w:spacing w:line="360" w:lineRule="exact"/>
        <w:ind w:firstLine="560" w:firstLineChars="200"/>
        <w:jc w:val="left"/>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3.5.3中标人应严格按施工技术方案组织施工，并无条件地接受招标人对施工质量的监督和管理。</w:t>
      </w:r>
    </w:p>
    <w:p>
      <w:pPr>
        <w:adjustRightInd w:val="0"/>
        <w:snapToGrid w:val="0"/>
        <w:spacing w:line="360" w:lineRule="exact"/>
        <w:ind w:firstLine="560" w:firstLineChars="200"/>
        <w:jc w:val="left"/>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3.5.4施工现场的建筑垃圾要及时清运，并自行运至机场区域范围以外，施工现场的材料、设备退场及现场清扫工作需于竣工验收前全部完成。上述相关处置费用，由投标人综合考虑，包含在投标报价中。</w:t>
      </w:r>
    </w:p>
    <w:p>
      <w:pPr>
        <w:adjustRightInd w:val="0"/>
        <w:snapToGrid w:val="0"/>
        <w:spacing w:line="36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3.6主要施工技术要求</w:t>
      </w:r>
    </w:p>
    <w:p>
      <w:pPr>
        <w:adjustRightInd w:val="0"/>
        <w:snapToGrid w:val="0"/>
        <w:spacing w:line="36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3.6.1进出场道路：投标人现场自行调查了解，所有材料不因场内外道路状况、运输线路、运距发生变化而进行调价。</w:t>
      </w:r>
    </w:p>
    <w:p>
      <w:pPr>
        <w:adjustRightInd w:val="0"/>
        <w:snapToGrid w:val="0"/>
        <w:spacing w:line="360" w:lineRule="exact"/>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3.6.2本工程施工用水、用电：由招标人提供水电接口，场内接管、安装水、电表由中标人自行解决。中标人施工前需向机场水电管理部门提出申请，由招标人按以下标准向中标人收取费用：</w:t>
      </w:r>
    </w:p>
    <w:p>
      <w:pPr>
        <w:adjustRightInd w:val="0"/>
        <w:snapToGrid w:val="0"/>
        <w:spacing w:line="360" w:lineRule="exact"/>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招标人按杭州萧山供水有限公司目前的供水含税单价4.40元/吨为基础水价，向中标人开具 9% 增值税发票收取基本水费，并在基础单价上加收2.91元/吨的供水设施服务费（9%的增值税发票）。在合同有效期内，如遇杭州萧山供水有限公司调整供水单价，基础水价也作相应的调整，收费金额保留小数点后两位四舍五入。</w:t>
      </w:r>
    </w:p>
    <w:p>
      <w:pPr>
        <w:adjustRightInd w:val="0"/>
        <w:snapToGrid w:val="0"/>
        <w:spacing w:line="36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招标人按每月购入电价作为基础电价，向中标人开具 13% 增值税发票收取基本电费，并在基础单价上加收10%的转供电损耗费（13%增值税发票）。在合同有效期内，如遇招标人每月购入电价调整，基础电价也作相应的调整，收费金额保留小数点后两位四舍五入。</w:t>
      </w:r>
    </w:p>
    <w:p>
      <w:pPr>
        <w:adjustRightInd w:val="0"/>
        <w:snapToGrid w:val="0"/>
        <w:spacing w:line="36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3.6.3投标人应到工地踏勘以充分了解工地位置、情况、道路、储存空间、装卸限制及任何其他足以影响投标报价的情况，任何因忽视或误解工地情况而导致的索赔或工期延长申请将不被批准。现场安保工作需服从招标人统一安排、调遣，费用从各施工单位相关报价中扣除。</w:t>
      </w:r>
    </w:p>
    <w:p>
      <w:pPr>
        <w:adjustRightInd w:val="0"/>
        <w:snapToGrid w:val="0"/>
        <w:spacing w:line="36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3.6.4本次招标的工程需考虑以下问题：</w:t>
      </w:r>
    </w:p>
    <w:p>
      <w:pPr>
        <w:numPr>
          <w:ilvl w:val="0"/>
          <w:numId w:val="8"/>
        </w:numPr>
        <w:adjustRightInd w:val="0"/>
        <w:snapToGrid w:val="0"/>
        <w:spacing w:line="36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需做好施工单位的车辆进出场及材料推放的管理工作，相关费用计入投标报价，中标后不再调整。</w:t>
      </w:r>
    </w:p>
    <w:p>
      <w:pPr>
        <w:numPr>
          <w:ilvl w:val="0"/>
          <w:numId w:val="8"/>
        </w:numPr>
        <w:adjustRightInd w:val="0"/>
        <w:snapToGrid w:val="0"/>
        <w:spacing w:line="36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本工程开工时间根据招标人提供施工场地时间为准，投标人在投标时须考虑由此造成的工期延长，由此造成的费用不做变更。</w:t>
      </w:r>
    </w:p>
    <w:p>
      <w:pPr>
        <w:numPr>
          <w:ilvl w:val="0"/>
          <w:numId w:val="8"/>
        </w:numPr>
        <w:adjustRightInd w:val="0"/>
        <w:snapToGrid w:val="0"/>
        <w:spacing w:line="36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本次施工区域可能存在部分障碍物需要拆除、移除，相关费用计入投标报价中，中标后不再调整。</w:t>
      </w:r>
    </w:p>
    <w:bookmarkEnd w:id="21"/>
    <w:p>
      <w:pPr>
        <w:snapToGrid w:val="0"/>
        <w:spacing w:line="36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四、产品保护</w:t>
      </w:r>
    </w:p>
    <w:p>
      <w:pPr>
        <w:snapToGrid w:val="0"/>
        <w:spacing w:line="36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4.1在工程现场及其周围已由其他施工单位完成和在建的建筑产品，中标人在现场施工中应负有保护责任和义务，因工程施工引起损坏，由中标人负责赔偿或修复。</w:t>
      </w:r>
    </w:p>
    <w:p>
      <w:pPr>
        <w:snapToGrid w:val="0"/>
        <w:spacing w:line="36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4.2中标人在施工期间，直至竣工验收尚未正式移交之前，应负责对所有材料及现场进行保护和清洁工作，直至办理完正式移交为止。若在此过程中发生材料丢失和产品损坏，应承担赔偿和修复。</w:t>
      </w:r>
    </w:p>
    <w:p>
      <w:pPr>
        <w:snapToGrid w:val="0"/>
        <w:spacing w:line="360" w:lineRule="exact"/>
        <w:ind w:firstLine="560" w:firstLineChars="200"/>
        <w:jc w:val="left"/>
        <w:rPr>
          <w:rFonts w:ascii="仿宋_GB2312" w:hAnsi="仿宋_GB2312" w:eastAsia="仿宋_GB2312" w:cs="仿宋_GB2312"/>
          <w:b/>
          <w:color w:val="auto"/>
          <w:sz w:val="28"/>
          <w:szCs w:val="28"/>
        </w:rPr>
      </w:pPr>
      <w:r>
        <w:rPr>
          <w:rFonts w:hint="eastAsia" w:ascii="仿宋_GB2312" w:hAnsi="仿宋_GB2312" w:eastAsia="仿宋_GB2312" w:cs="仿宋_GB2312"/>
          <w:b/>
          <w:color w:val="auto"/>
          <w:kern w:val="0"/>
          <w:sz w:val="28"/>
          <w:szCs w:val="28"/>
        </w:rPr>
        <w:t>五、其他要求</w:t>
      </w:r>
    </w:p>
    <w:p>
      <w:pPr>
        <w:adjustRightInd w:val="0"/>
        <w:snapToGrid w:val="0"/>
        <w:spacing w:line="360" w:lineRule="exact"/>
        <w:ind w:firstLine="560" w:firstLineChars="200"/>
        <w:jc w:val="left"/>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5.1施工临设在建设单位指定区域自行搭设，施工进场前方案报招标人同意后方可搭建。施工临设用地、材料堆场等在工程竣工验收通过后10日内自行拆除、彻底清理，并恢复原状。费用由投标人综合考虑，不另行计算。</w:t>
      </w:r>
    </w:p>
    <w:p>
      <w:pPr>
        <w:snapToGrid w:val="0"/>
        <w:spacing w:line="360" w:lineRule="exact"/>
        <w:ind w:firstLine="560" w:firstLineChars="200"/>
        <w:jc w:val="left"/>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5.2中标人在整个项目的施工阶段，应采用拍照方式记录隐蔽工程及各道工序的施工过程，并形成一套完整的影像资料文件；拍摄的影像资料应能全面的记录整个施工全过程（包含实施前中后）的实际状况，所有的隐蔽工程验收及各道工序都须按检验批拍摄留存影像资料文件。</w:t>
      </w:r>
    </w:p>
    <w:p>
      <w:pPr>
        <w:snapToGrid w:val="0"/>
        <w:spacing w:line="360" w:lineRule="exact"/>
        <w:ind w:firstLine="560" w:firstLineChars="200"/>
        <w:jc w:val="left"/>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5.3本工程为固定单价合同。请投标人依据本项目招标内容、技术标准及要求、工程量清单提交报价，参与报价单位应充分考虑施工现场的实际情况、市场风险及自身承受能力，并根据本项目特点及施工技术规范、施工工艺要求，组织并测算为完成项目所必须采取的工艺及措施进行报价，报价应包含完成项目所需人工费、材料费、机械费和对应的企业管理费、利润以及全部风险费用、措施项目费用、其他项目费用、规费、税金等一切费用。项目竣工验收后按实办理结算（按项报价子目不再调整）。</w:t>
      </w:r>
    </w:p>
    <w:p>
      <w:pPr>
        <w:snapToGrid w:val="0"/>
        <w:spacing w:line="360" w:lineRule="exact"/>
        <w:ind w:firstLine="560" w:firstLineChars="200"/>
        <w:jc w:val="left"/>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5.4发包范围外招标人提出并签证的费用由中标人在施工前提出并补充编制工料单价预算书。</w:t>
      </w:r>
    </w:p>
    <w:p>
      <w:pPr>
        <w:snapToGrid w:val="0"/>
        <w:spacing w:line="360" w:lineRule="exact"/>
        <w:ind w:firstLine="560" w:firstLineChars="200"/>
        <w:jc w:val="left"/>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5.5计日工单价最高限价210元/工日。</w:t>
      </w:r>
    </w:p>
    <w:p>
      <w:pPr>
        <w:snapToGrid w:val="0"/>
        <w:spacing w:line="360" w:lineRule="exact"/>
        <w:ind w:firstLine="560" w:firstLineChars="200"/>
        <w:jc w:val="left"/>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5.6工程施工期间，中标人须无条件服从机场公司关于工期进度的统一安排。投标人需充分考虑隔离区内施工时间及工期的不确定性，如由于机场运行要求某些时间不得施工等或如遇长时间停工等任何突发情况，请投标人在投标时充分考虑相关费用，中标后不予增加费用。</w:t>
      </w:r>
    </w:p>
    <w:p>
      <w:pPr>
        <w:pStyle w:val="4"/>
        <w:spacing w:line="360" w:lineRule="exact"/>
        <w:ind w:firstLine="560" w:firstLineChars="200"/>
        <w:jc w:val="left"/>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5.7本项目工程位于机场隔离区内，中标人必须确保在施工阶段不影响机场正常运行，遵守机场不停航施工管理规定、施工安全条例。</w:t>
      </w:r>
    </w:p>
    <w:p>
      <w:pPr>
        <w:pStyle w:val="4"/>
        <w:spacing w:line="360" w:lineRule="exact"/>
        <w:ind w:firstLine="560" w:firstLineChars="200"/>
        <w:jc w:val="left"/>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5.8中标人施工人员在进出机场隔离区时必须办理相关证件。费用由投标人综合考虑，包含在投标报价中。</w:t>
      </w:r>
    </w:p>
    <w:p>
      <w:pPr>
        <w:pStyle w:val="4"/>
        <w:spacing w:line="360" w:lineRule="exact"/>
        <w:ind w:firstLine="560" w:firstLineChars="200"/>
        <w:jc w:val="left"/>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5.9因本项目施工地点位于机场隔离区内，隔离区相关施工措施包括施工导致的夜间加班、工效降低、证件办理等需产生的费用，投标人必须充分考虑，费用包含在隔离区施工措施费报价中。投标人需考虑聘请招标人推荐的机场专业保安，负责门卫、巡逻、施工现场看护、隔离区围界看护等工作，人数每个施工区域每班不得少于1人，并配备相应的保卫措施，保安费用按实结算（结算时中标人需提供相应票据作为依据），</w:t>
      </w:r>
      <w:r>
        <w:rPr>
          <w:rFonts w:hint="eastAsia" w:ascii="仿宋_GB2312" w:hAnsi="仿宋_GB2312" w:eastAsia="仿宋_GB2312" w:cs="仿宋_GB2312"/>
          <w:b/>
          <w:color w:val="auto"/>
          <w:sz w:val="28"/>
          <w:szCs w:val="28"/>
          <w:highlight w:val="none"/>
        </w:rPr>
        <w:t>★投标报价中施工安全监管费按</w:t>
      </w:r>
      <w:r>
        <w:rPr>
          <w:rFonts w:hint="eastAsia" w:ascii="仿宋_GB2312" w:hAnsi="仿宋_GB2312" w:eastAsia="仿宋_GB2312" w:cs="仿宋_GB2312"/>
          <w:b/>
          <w:color w:val="auto"/>
          <w:sz w:val="28"/>
          <w:szCs w:val="28"/>
          <w:highlight w:val="none"/>
          <w:lang w:val="en-US" w:eastAsia="zh-CN"/>
        </w:rPr>
        <w:t>4000</w:t>
      </w:r>
      <w:r>
        <w:rPr>
          <w:rFonts w:hint="eastAsia" w:ascii="仿宋_GB2312" w:hAnsi="仿宋_GB2312" w:eastAsia="仿宋_GB2312" w:cs="仿宋_GB2312"/>
          <w:b/>
          <w:color w:val="auto"/>
          <w:sz w:val="28"/>
          <w:szCs w:val="28"/>
          <w:highlight w:val="none"/>
        </w:rPr>
        <w:t>元暂列金额计入，不得优惠。</w:t>
      </w:r>
    </w:p>
    <w:p>
      <w:pPr>
        <w:spacing w:line="360" w:lineRule="exact"/>
        <w:ind w:firstLine="560" w:firstLineChars="200"/>
        <w:jc w:val="left"/>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5.10中标人须无条件配合招标人要求，施工前应征得招标人同意，不得擅自施工，如擅自施工导致的一切后果由中标人承担。</w:t>
      </w:r>
    </w:p>
    <w:p>
      <w:pPr>
        <w:spacing w:line="360" w:lineRule="exact"/>
        <w:ind w:firstLine="560" w:firstLineChars="200"/>
        <w:jc w:val="left"/>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5.11项目开工前中标人需提供施工进度计划表、施工材料及明细表，待材料、人员、证件全部准备完善并经招标人同意方可进行施工。</w:t>
      </w:r>
    </w:p>
    <w:p>
      <w:pPr>
        <w:snapToGrid w:val="0"/>
        <w:spacing w:line="36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5.12施工现场围挡的设置应当符合机场相关规定，具体做法详见《航站楼施工围挡管理标准》。</w:t>
      </w:r>
    </w:p>
    <w:bookmarkEnd w:id="10"/>
    <w:bookmarkEnd w:id="19"/>
    <w:bookmarkEnd w:id="20"/>
    <w:p>
      <w:pPr>
        <w:pStyle w:val="9"/>
        <w:keepNext/>
        <w:pageBreakBefore/>
        <w:spacing w:before="0" w:after="0" w:line="560" w:lineRule="exact"/>
        <w:rPr>
          <w:color w:val="auto"/>
        </w:rPr>
      </w:pPr>
      <w:bookmarkStart w:id="22" w:name="_Toc10055"/>
      <w:bookmarkStart w:id="23" w:name="_Toc52907682"/>
      <w:bookmarkStart w:id="24" w:name="_Toc31406"/>
      <w:r>
        <w:rPr>
          <w:rFonts w:hint="eastAsia"/>
          <w:color w:val="auto"/>
        </w:rPr>
        <w:t>第六章 投标文件格式</w:t>
      </w:r>
      <w:bookmarkEnd w:id="22"/>
      <w:bookmarkEnd w:id="23"/>
      <w:bookmarkEnd w:id="24"/>
    </w:p>
    <w:p>
      <w:pPr>
        <w:autoSpaceDE w:val="0"/>
        <w:autoSpaceDN w:val="0"/>
        <w:adjustRightInd w:val="0"/>
        <w:spacing w:line="200" w:lineRule="exact"/>
        <w:jc w:val="left"/>
        <w:rPr>
          <w:rFonts w:cs="微软雅黑"/>
          <w:color w:val="auto"/>
          <w:kern w:val="0"/>
          <w:sz w:val="20"/>
          <w:szCs w:val="20"/>
        </w:rPr>
      </w:pPr>
    </w:p>
    <w:p>
      <w:pPr>
        <w:autoSpaceDE w:val="0"/>
        <w:autoSpaceDN w:val="0"/>
        <w:adjustRightInd w:val="0"/>
        <w:spacing w:line="200" w:lineRule="exact"/>
        <w:jc w:val="left"/>
        <w:rPr>
          <w:rFonts w:cs="微软雅黑"/>
          <w:color w:val="auto"/>
          <w:kern w:val="0"/>
          <w:sz w:val="20"/>
          <w:szCs w:val="20"/>
        </w:rPr>
      </w:pPr>
    </w:p>
    <w:p>
      <w:pPr>
        <w:autoSpaceDE w:val="0"/>
        <w:autoSpaceDN w:val="0"/>
        <w:adjustRightInd w:val="0"/>
        <w:spacing w:line="200" w:lineRule="exact"/>
        <w:jc w:val="left"/>
        <w:rPr>
          <w:rFonts w:cs="微软雅黑"/>
          <w:color w:val="auto"/>
          <w:kern w:val="0"/>
          <w:sz w:val="20"/>
          <w:szCs w:val="20"/>
        </w:rPr>
      </w:pPr>
    </w:p>
    <w:p>
      <w:pPr>
        <w:autoSpaceDE w:val="0"/>
        <w:autoSpaceDN w:val="0"/>
        <w:adjustRightInd w:val="0"/>
        <w:spacing w:line="200" w:lineRule="exact"/>
        <w:jc w:val="left"/>
        <w:rPr>
          <w:rFonts w:cs="微软雅黑"/>
          <w:color w:val="auto"/>
          <w:kern w:val="0"/>
          <w:sz w:val="20"/>
          <w:szCs w:val="20"/>
        </w:rPr>
      </w:pPr>
    </w:p>
    <w:p>
      <w:pPr>
        <w:autoSpaceDE w:val="0"/>
        <w:autoSpaceDN w:val="0"/>
        <w:adjustRightInd w:val="0"/>
        <w:spacing w:line="200" w:lineRule="exact"/>
        <w:jc w:val="left"/>
        <w:rPr>
          <w:rFonts w:cs="微软雅黑"/>
          <w:color w:val="auto"/>
          <w:kern w:val="0"/>
          <w:sz w:val="20"/>
          <w:szCs w:val="20"/>
        </w:rPr>
      </w:pPr>
    </w:p>
    <w:p>
      <w:pPr>
        <w:tabs>
          <w:tab w:val="left" w:pos="2980"/>
        </w:tabs>
        <w:autoSpaceDE w:val="0"/>
        <w:autoSpaceDN w:val="0"/>
        <w:adjustRightInd w:val="0"/>
        <w:spacing w:line="360" w:lineRule="auto"/>
        <w:ind w:left="1880" w:right="-20" w:firstLine="1418" w:firstLineChars="350"/>
        <w:jc w:val="left"/>
        <w:rPr>
          <w:rFonts w:cs="微软雅黑"/>
          <w:color w:val="auto"/>
          <w:kern w:val="0"/>
          <w:sz w:val="24"/>
          <w:szCs w:val="28"/>
        </w:rPr>
      </w:pPr>
      <w:r>
        <w:rPr>
          <w:rFonts w:cs="微软雅黑"/>
          <w:color w:val="auto"/>
          <w:w w:val="169"/>
          <w:kern w:val="0"/>
          <w:position w:val="-3"/>
          <w:sz w:val="24"/>
          <w:szCs w:val="28"/>
          <w:u w:val="single"/>
        </w:rPr>
        <w:t xml:space="preserve">       </w:t>
      </w:r>
      <w:r>
        <w:rPr>
          <w:rFonts w:hint="eastAsia" w:cs="微软雅黑"/>
          <w:color w:val="auto"/>
          <w:w w:val="169"/>
          <w:kern w:val="0"/>
          <w:position w:val="-3"/>
          <w:sz w:val="24"/>
          <w:szCs w:val="28"/>
          <w:u w:val="single"/>
        </w:rPr>
        <w:t xml:space="preserve">           </w:t>
      </w:r>
      <w:r>
        <w:rPr>
          <w:rFonts w:cs="微软雅黑"/>
          <w:color w:val="auto"/>
          <w:w w:val="169"/>
          <w:kern w:val="0"/>
          <w:position w:val="-3"/>
          <w:sz w:val="24"/>
          <w:szCs w:val="28"/>
          <w:u w:val="single"/>
        </w:rPr>
        <w:t xml:space="preserve">       </w:t>
      </w:r>
      <w:r>
        <w:rPr>
          <w:rFonts w:cs="微软雅黑"/>
          <w:color w:val="auto"/>
          <w:kern w:val="0"/>
          <w:position w:val="-3"/>
          <w:sz w:val="24"/>
          <w:szCs w:val="28"/>
          <w:u w:val="single"/>
        </w:rPr>
        <w:tab/>
      </w:r>
      <w:r>
        <w:rPr>
          <w:rFonts w:cs="微软雅黑"/>
          <w:color w:val="auto"/>
          <w:kern w:val="0"/>
          <w:position w:val="-3"/>
          <w:sz w:val="24"/>
          <w:szCs w:val="28"/>
        </w:rPr>
        <w:t>(项目</w:t>
      </w:r>
      <w:r>
        <w:rPr>
          <w:rFonts w:cs="微软雅黑"/>
          <w:color w:val="auto"/>
          <w:spacing w:val="-3"/>
          <w:kern w:val="0"/>
          <w:position w:val="-3"/>
          <w:sz w:val="24"/>
          <w:szCs w:val="28"/>
        </w:rPr>
        <w:t>名</w:t>
      </w:r>
      <w:r>
        <w:rPr>
          <w:rFonts w:cs="微软雅黑"/>
          <w:color w:val="auto"/>
          <w:kern w:val="0"/>
          <w:position w:val="-3"/>
          <w:sz w:val="24"/>
          <w:szCs w:val="28"/>
        </w:rPr>
        <w:t>称)</w:t>
      </w:r>
    </w:p>
    <w:p>
      <w:pPr>
        <w:autoSpaceDE w:val="0"/>
        <w:autoSpaceDN w:val="0"/>
        <w:adjustRightInd w:val="0"/>
        <w:spacing w:before="7" w:line="100" w:lineRule="exact"/>
        <w:jc w:val="left"/>
        <w:rPr>
          <w:rFonts w:cs="微软雅黑"/>
          <w:color w:val="auto"/>
          <w:kern w:val="0"/>
          <w:sz w:val="10"/>
          <w:szCs w:val="10"/>
        </w:rPr>
      </w:pPr>
    </w:p>
    <w:p>
      <w:pPr>
        <w:autoSpaceDE w:val="0"/>
        <w:autoSpaceDN w:val="0"/>
        <w:adjustRightInd w:val="0"/>
        <w:spacing w:line="200" w:lineRule="exact"/>
        <w:jc w:val="left"/>
        <w:rPr>
          <w:rFonts w:cs="微软雅黑"/>
          <w:color w:val="auto"/>
          <w:kern w:val="0"/>
          <w:sz w:val="20"/>
          <w:szCs w:val="20"/>
        </w:rPr>
      </w:pPr>
    </w:p>
    <w:p>
      <w:pPr>
        <w:autoSpaceDE w:val="0"/>
        <w:autoSpaceDN w:val="0"/>
        <w:adjustRightInd w:val="0"/>
        <w:spacing w:line="200" w:lineRule="exact"/>
        <w:jc w:val="left"/>
        <w:rPr>
          <w:rFonts w:cs="微软雅黑"/>
          <w:color w:val="auto"/>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cs="微软雅黑"/>
          <w:color w:val="auto"/>
          <w:kern w:val="0"/>
          <w:sz w:val="44"/>
          <w:szCs w:val="44"/>
        </w:rPr>
      </w:pPr>
      <w:r>
        <w:rPr>
          <w:rFonts w:cs="微软雅黑"/>
          <w:color w:val="auto"/>
          <w:kern w:val="0"/>
          <w:sz w:val="44"/>
          <w:szCs w:val="44"/>
        </w:rPr>
        <w:t>投</w:t>
      </w:r>
      <w:r>
        <w:rPr>
          <w:rFonts w:cs="微软雅黑"/>
          <w:color w:val="auto"/>
          <w:kern w:val="0"/>
          <w:sz w:val="44"/>
          <w:szCs w:val="44"/>
        </w:rPr>
        <w:tab/>
      </w:r>
      <w:r>
        <w:rPr>
          <w:rFonts w:cs="微软雅黑"/>
          <w:color w:val="auto"/>
          <w:kern w:val="0"/>
          <w:sz w:val="44"/>
          <w:szCs w:val="44"/>
        </w:rPr>
        <w:t>标</w:t>
      </w:r>
      <w:r>
        <w:rPr>
          <w:rFonts w:cs="微软雅黑"/>
          <w:color w:val="auto"/>
          <w:kern w:val="0"/>
          <w:sz w:val="44"/>
          <w:szCs w:val="44"/>
        </w:rPr>
        <w:tab/>
      </w:r>
      <w:r>
        <w:rPr>
          <w:rFonts w:cs="微软雅黑"/>
          <w:color w:val="auto"/>
          <w:kern w:val="0"/>
          <w:sz w:val="44"/>
          <w:szCs w:val="44"/>
        </w:rPr>
        <w:t>文</w:t>
      </w:r>
      <w:r>
        <w:rPr>
          <w:rFonts w:cs="微软雅黑"/>
          <w:color w:val="auto"/>
          <w:kern w:val="0"/>
          <w:sz w:val="44"/>
          <w:szCs w:val="44"/>
        </w:rPr>
        <w:tab/>
      </w:r>
      <w:r>
        <w:rPr>
          <w:rFonts w:cs="微软雅黑"/>
          <w:color w:val="auto"/>
          <w:w w:val="99"/>
          <w:kern w:val="0"/>
          <w:sz w:val="44"/>
          <w:szCs w:val="44"/>
        </w:rPr>
        <w:t>件</w:t>
      </w:r>
    </w:p>
    <w:p>
      <w:pPr>
        <w:autoSpaceDE w:val="0"/>
        <w:autoSpaceDN w:val="0"/>
        <w:adjustRightInd w:val="0"/>
        <w:spacing w:line="200" w:lineRule="exact"/>
        <w:jc w:val="left"/>
        <w:rPr>
          <w:rFonts w:cs="微软雅黑"/>
          <w:color w:val="auto"/>
          <w:kern w:val="0"/>
          <w:sz w:val="20"/>
          <w:szCs w:val="20"/>
        </w:rPr>
      </w:pPr>
    </w:p>
    <w:p>
      <w:pPr>
        <w:autoSpaceDE w:val="0"/>
        <w:autoSpaceDN w:val="0"/>
        <w:adjustRightInd w:val="0"/>
        <w:spacing w:line="200" w:lineRule="exact"/>
        <w:jc w:val="left"/>
        <w:rPr>
          <w:rFonts w:cs="微软雅黑"/>
          <w:color w:val="auto"/>
          <w:kern w:val="0"/>
          <w:sz w:val="20"/>
          <w:szCs w:val="20"/>
        </w:rPr>
      </w:pPr>
    </w:p>
    <w:p>
      <w:pPr>
        <w:autoSpaceDE w:val="0"/>
        <w:autoSpaceDN w:val="0"/>
        <w:adjustRightInd w:val="0"/>
        <w:spacing w:line="200" w:lineRule="exact"/>
        <w:jc w:val="left"/>
        <w:rPr>
          <w:rFonts w:cs="微软雅黑"/>
          <w:color w:val="auto"/>
          <w:kern w:val="0"/>
          <w:sz w:val="20"/>
          <w:szCs w:val="20"/>
        </w:rPr>
      </w:pPr>
    </w:p>
    <w:p>
      <w:pPr>
        <w:autoSpaceDE w:val="0"/>
        <w:autoSpaceDN w:val="0"/>
        <w:adjustRightInd w:val="0"/>
        <w:spacing w:line="200" w:lineRule="exact"/>
        <w:jc w:val="left"/>
        <w:rPr>
          <w:rFonts w:cs="微软雅黑"/>
          <w:color w:val="auto"/>
          <w:kern w:val="0"/>
          <w:sz w:val="20"/>
          <w:szCs w:val="20"/>
        </w:rPr>
      </w:pPr>
    </w:p>
    <w:p>
      <w:pPr>
        <w:autoSpaceDE w:val="0"/>
        <w:autoSpaceDN w:val="0"/>
        <w:adjustRightInd w:val="0"/>
        <w:spacing w:line="200" w:lineRule="exact"/>
        <w:jc w:val="left"/>
        <w:rPr>
          <w:rFonts w:cs="微软雅黑"/>
          <w:color w:val="auto"/>
          <w:kern w:val="0"/>
          <w:sz w:val="20"/>
          <w:szCs w:val="20"/>
        </w:rPr>
      </w:pPr>
    </w:p>
    <w:p>
      <w:pPr>
        <w:autoSpaceDE w:val="0"/>
        <w:autoSpaceDN w:val="0"/>
        <w:adjustRightInd w:val="0"/>
        <w:spacing w:line="200" w:lineRule="exact"/>
        <w:jc w:val="left"/>
        <w:rPr>
          <w:rFonts w:cs="微软雅黑"/>
          <w:color w:val="auto"/>
          <w:kern w:val="0"/>
          <w:sz w:val="20"/>
          <w:szCs w:val="20"/>
        </w:rPr>
      </w:pPr>
    </w:p>
    <w:p>
      <w:pPr>
        <w:autoSpaceDE w:val="0"/>
        <w:autoSpaceDN w:val="0"/>
        <w:adjustRightInd w:val="0"/>
        <w:spacing w:line="200" w:lineRule="exact"/>
        <w:jc w:val="left"/>
        <w:rPr>
          <w:rFonts w:cs="微软雅黑"/>
          <w:color w:val="auto"/>
          <w:kern w:val="0"/>
          <w:sz w:val="20"/>
          <w:szCs w:val="20"/>
        </w:rPr>
      </w:pPr>
    </w:p>
    <w:p>
      <w:pPr>
        <w:autoSpaceDE w:val="0"/>
        <w:autoSpaceDN w:val="0"/>
        <w:adjustRightInd w:val="0"/>
        <w:spacing w:line="200" w:lineRule="exact"/>
        <w:jc w:val="left"/>
        <w:rPr>
          <w:rFonts w:cs="微软雅黑"/>
          <w:color w:val="auto"/>
          <w:kern w:val="0"/>
          <w:sz w:val="20"/>
          <w:szCs w:val="20"/>
        </w:rPr>
      </w:pPr>
    </w:p>
    <w:p>
      <w:pPr>
        <w:autoSpaceDE w:val="0"/>
        <w:autoSpaceDN w:val="0"/>
        <w:adjustRightInd w:val="0"/>
        <w:spacing w:line="200" w:lineRule="exact"/>
        <w:jc w:val="left"/>
        <w:rPr>
          <w:rFonts w:cs="微软雅黑"/>
          <w:color w:val="auto"/>
          <w:kern w:val="0"/>
          <w:sz w:val="20"/>
          <w:szCs w:val="20"/>
        </w:rPr>
      </w:pPr>
    </w:p>
    <w:p>
      <w:pPr>
        <w:autoSpaceDE w:val="0"/>
        <w:autoSpaceDN w:val="0"/>
        <w:adjustRightInd w:val="0"/>
        <w:spacing w:line="200" w:lineRule="exact"/>
        <w:jc w:val="left"/>
        <w:rPr>
          <w:rFonts w:cs="微软雅黑"/>
          <w:color w:val="auto"/>
          <w:kern w:val="0"/>
          <w:sz w:val="20"/>
          <w:szCs w:val="20"/>
        </w:rPr>
      </w:pPr>
    </w:p>
    <w:p>
      <w:pPr>
        <w:autoSpaceDE w:val="0"/>
        <w:autoSpaceDN w:val="0"/>
        <w:adjustRightInd w:val="0"/>
        <w:spacing w:line="200" w:lineRule="exact"/>
        <w:jc w:val="left"/>
        <w:rPr>
          <w:rFonts w:cs="微软雅黑"/>
          <w:color w:val="auto"/>
          <w:kern w:val="0"/>
          <w:sz w:val="20"/>
          <w:szCs w:val="20"/>
        </w:rPr>
      </w:pPr>
    </w:p>
    <w:p>
      <w:pPr>
        <w:autoSpaceDE w:val="0"/>
        <w:autoSpaceDN w:val="0"/>
        <w:adjustRightInd w:val="0"/>
        <w:spacing w:line="200" w:lineRule="exact"/>
        <w:jc w:val="left"/>
        <w:rPr>
          <w:rFonts w:cs="微软雅黑"/>
          <w:color w:val="auto"/>
          <w:kern w:val="0"/>
          <w:sz w:val="20"/>
          <w:szCs w:val="20"/>
        </w:rPr>
      </w:pPr>
    </w:p>
    <w:p>
      <w:pPr>
        <w:autoSpaceDE w:val="0"/>
        <w:autoSpaceDN w:val="0"/>
        <w:adjustRightInd w:val="0"/>
        <w:spacing w:line="200" w:lineRule="exact"/>
        <w:jc w:val="left"/>
        <w:rPr>
          <w:rFonts w:cs="微软雅黑"/>
          <w:color w:val="auto"/>
          <w:kern w:val="0"/>
          <w:sz w:val="20"/>
          <w:szCs w:val="20"/>
        </w:rPr>
      </w:pPr>
    </w:p>
    <w:p>
      <w:pPr>
        <w:autoSpaceDE w:val="0"/>
        <w:autoSpaceDN w:val="0"/>
        <w:adjustRightInd w:val="0"/>
        <w:spacing w:line="200" w:lineRule="exact"/>
        <w:jc w:val="left"/>
        <w:rPr>
          <w:rFonts w:cs="微软雅黑"/>
          <w:color w:val="auto"/>
          <w:kern w:val="0"/>
          <w:sz w:val="20"/>
          <w:szCs w:val="20"/>
        </w:rPr>
      </w:pPr>
    </w:p>
    <w:p>
      <w:pPr>
        <w:autoSpaceDE w:val="0"/>
        <w:autoSpaceDN w:val="0"/>
        <w:adjustRightInd w:val="0"/>
        <w:spacing w:line="200" w:lineRule="exact"/>
        <w:jc w:val="left"/>
        <w:rPr>
          <w:rFonts w:cs="微软雅黑"/>
          <w:color w:val="auto"/>
          <w:kern w:val="0"/>
          <w:sz w:val="20"/>
          <w:szCs w:val="20"/>
        </w:rPr>
      </w:pPr>
    </w:p>
    <w:p>
      <w:pPr>
        <w:autoSpaceDE w:val="0"/>
        <w:autoSpaceDN w:val="0"/>
        <w:adjustRightInd w:val="0"/>
        <w:spacing w:line="200" w:lineRule="exact"/>
        <w:jc w:val="left"/>
        <w:rPr>
          <w:rFonts w:cs="微软雅黑"/>
          <w:color w:val="auto"/>
          <w:kern w:val="0"/>
          <w:sz w:val="20"/>
          <w:szCs w:val="20"/>
        </w:rPr>
      </w:pPr>
    </w:p>
    <w:p>
      <w:pPr>
        <w:autoSpaceDE w:val="0"/>
        <w:autoSpaceDN w:val="0"/>
        <w:adjustRightInd w:val="0"/>
        <w:spacing w:line="200" w:lineRule="exact"/>
        <w:jc w:val="left"/>
        <w:rPr>
          <w:rFonts w:cs="微软雅黑"/>
          <w:color w:val="auto"/>
          <w:kern w:val="0"/>
          <w:sz w:val="20"/>
          <w:szCs w:val="20"/>
        </w:rPr>
      </w:pPr>
    </w:p>
    <w:p>
      <w:pPr>
        <w:autoSpaceDE w:val="0"/>
        <w:autoSpaceDN w:val="0"/>
        <w:adjustRightInd w:val="0"/>
        <w:spacing w:line="200" w:lineRule="exact"/>
        <w:jc w:val="left"/>
        <w:rPr>
          <w:rFonts w:cs="微软雅黑"/>
          <w:color w:val="auto"/>
          <w:kern w:val="0"/>
          <w:sz w:val="20"/>
          <w:szCs w:val="20"/>
        </w:rPr>
      </w:pPr>
    </w:p>
    <w:p>
      <w:pPr>
        <w:autoSpaceDE w:val="0"/>
        <w:autoSpaceDN w:val="0"/>
        <w:adjustRightInd w:val="0"/>
        <w:spacing w:line="200" w:lineRule="exact"/>
        <w:jc w:val="left"/>
        <w:rPr>
          <w:rFonts w:cs="微软雅黑"/>
          <w:color w:val="auto"/>
          <w:kern w:val="0"/>
          <w:sz w:val="20"/>
          <w:szCs w:val="20"/>
        </w:rPr>
      </w:pPr>
    </w:p>
    <w:p>
      <w:pPr>
        <w:autoSpaceDE w:val="0"/>
        <w:autoSpaceDN w:val="0"/>
        <w:adjustRightInd w:val="0"/>
        <w:spacing w:line="200" w:lineRule="exact"/>
        <w:jc w:val="left"/>
        <w:rPr>
          <w:rFonts w:cs="微软雅黑"/>
          <w:color w:val="auto"/>
          <w:kern w:val="0"/>
          <w:sz w:val="20"/>
          <w:szCs w:val="20"/>
        </w:rPr>
      </w:pPr>
    </w:p>
    <w:p>
      <w:pPr>
        <w:autoSpaceDE w:val="0"/>
        <w:autoSpaceDN w:val="0"/>
        <w:adjustRightInd w:val="0"/>
        <w:spacing w:line="200" w:lineRule="exact"/>
        <w:jc w:val="left"/>
        <w:rPr>
          <w:rFonts w:cs="微软雅黑"/>
          <w:color w:val="auto"/>
          <w:kern w:val="0"/>
          <w:sz w:val="20"/>
          <w:szCs w:val="20"/>
        </w:rPr>
      </w:pPr>
    </w:p>
    <w:p>
      <w:pPr>
        <w:autoSpaceDE w:val="0"/>
        <w:autoSpaceDN w:val="0"/>
        <w:adjustRightInd w:val="0"/>
        <w:spacing w:line="200" w:lineRule="exact"/>
        <w:jc w:val="left"/>
        <w:rPr>
          <w:rFonts w:cs="微软雅黑"/>
          <w:color w:val="auto"/>
          <w:kern w:val="0"/>
          <w:sz w:val="20"/>
          <w:szCs w:val="20"/>
        </w:rPr>
      </w:pPr>
    </w:p>
    <w:p>
      <w:pPr>
        <w:autoSpaceDE w:val="0"/>
        <w:autoSpaceDN w:val="0"/>
        <w:adjustRightInd w:val="0"/>
        <w:spacing w:line="200" w:lineRule="exact"/>
        <w:jc w:val="left"/>
        <w:rPr>
          <w:rFonts w:cs="微软雅黑"/>
          <w:color w:val="auto"/>
          <w:kern w:val="0"/>
          <w:sz w:val="20"/>
          <w:szCs w:val="20"/>
        </w:rPr>
      </w:pPr>
    </w:p>
    <w:p>
      <w:pPr>
        <w:autoSpaceDE w:val="0"/>
        <w:autoSpaceDN w:val="0"/>
        <w:adjustRightInd w:val="0"/>
        <w:spacing w:line="200" w:lineRule="exact"/>
        <w:jc w:val="left"/>
        <w:rPr>
          <w:rFonts w:cs="微软雅黑"/>
          <w:color w:val="auto"/>
          <w:kern w:val="0"/>
          <w:sz w:val="20"/>
          <w:szCs w:val="20"/>
        </w:rPr>
      </w:pPr>
    </w:p>
    <w:p>
      <w:pPr>
        <w:autoSpaceDE w:val="0"/>
        <w:autoSpaceDN w:val="0"/>
        <w:adjustRightInd w:val="0"/>
        <w:spacing w:line="200" w:lineRule="exact"/>
        <w:jc w:val="left"/>
        <w:rPr>
          <w:rFonts w:cs="微软雅黑"/>
          <w:color w:val="auto"/>
          <w:kern w:val="0"/>
          <w:sz w:val="20"/>
          <w:szCs w:val="20"/>
        </w:rPr>
      </w:pPr>
    </w:p>
    <w:p>
      <w:pPr>
        <w:autoSpaceDE w:val="0"/>
        <w:autoSpaceDN w:val="0"/>
        <w:adjustRightInd w:val="0"/>
        <w:spacing w:line="200" w:lineRule="exact"/>
        <w:jc w:val="left"/>
        <w:rPr>
          <w:rFonts w:cs="微软雅黑"/>
          <w:color w:val="auto"/>
          <w:kern w:val="0"/>
          <w:sz w:val="20"/>
          <w:szCs w:val="20"/>
        </w:rPr>
      </w:pPr>
    </w:p>
    <w:p>
      <w:pPr>
        <w:autoSpaceDE w:val="0"/>
        <w:autoSpaceDN w:val="0"/>
        <w:adjustRightInd w:val="0"/>
        <w:spacing w:line="200" w:lineRule="exact"/>
        <w:jc w:val="left"/>
        <w:rPr>
          <w:rFonts w:cs="微软雅黑"/>
          <w:color w:val="auto"/>
          <w:kern w:val="0"/>
          <w:sz w:val="20"/>
          <w:szCs w:val="20"/>
        </w:rPr>
      </w:pPr>
    </w:p>
    <w:p>
      <w:pPr>
        <w:autoSpaceDE w:val="0"/>
        <w:autoSpaceDN w:val="0"/>
        <w:adjustRightInd w:val="0"/>
        <w:spacing w:line="200" w:lineRule="exact"/>
        <w:jc w:val="left"/>
        <w:rPr>
          <w:rFonts w:cs="微软雅黑"/>
          <w:color w:val="auto"/>
          <w:kern w:val="0"/>
          <w:sz w:val="20"/>
          <w:szCs w:val="20"/>
        </w:rPr>
      </w:pPr>
    </w:p>
    <w:p>
      <w:pPr>
        <w:autoSpaceDE w:val="0"/>
        <w:autoSpaceDN w:val="0"/>
        <w:adjustRightInd w:val="0"/>
        <w:spacing w:line="200" w:lineRule="exact"/>
        <w:jc w:val="left"/>
        <w:rPr>
          <w:rFonts w:cs="微软雅黑"/>
          <w:color w:val="auto"/>
          <w:kern w:val="0"/>
          <w:sz w:val="20"/>
          <w:szCs w:val="20"/>
        </w:rPr>
      </w:pPr>
    </w:p>
    <w:p>
      <w:pPr>
        <w:autoSpaceDE w:val="0"/>
        <w:autoSpaceDN w:val="0"/>
        <w:adjustRightInd w:val="0"/>
        <w:spacing w:line="200" w:lineRule="exact"/>
        <w:jc w:val="left"/>
        <w:rPr>
          <w:rFonts w:cs="微软雅黑"/>
          <w:color w:val="auto"/>
          <w:kern w:val="0"/>
          <w:sz w:val="20"/>
          <w:szCs w:val="20"/>
        </w:rPr>
      </w:pPr>
    </w:p>
    <w:p>
      <w:pPr>
        <w:autoSpaceDE w:val="0"/>
        <w:autoSpaceDN w:val="0"/>
        <w:adjustRightInd w:val="0"/>
        <w:spacing w:line="200" w:lineRule="exact"/>
        <w:jc w:val="left"/>
        <w:rPr>
          <w:rFonts w:cs="微软雅黑"/>
          <w:color w:val="auto"/>
          <w:kern w:val="0"/>
          <w:sz w:val="20"/>
          <w:szCs w:val="20"/>
        </w:rPr>
      </w:pPr>
    </w:p>
    <w:p>
      <w:pPr>
        <w:autoSpaceDE w:val="0"/>
        <w:autoSpaceDN w:val="0"/>
        <w:adjustRightInd w:val="0"/>
        <w:spacing w:line="200" w:lineRule="exact"/>
        <w:jc w:val="left"/>
        <w:rPr>
          <w:rFonts w:cs="微软雅黑"/>
          <w:color w:val="auto"/>
          <w:kern w:val="0"/>
          <w:sz w:val="20"/>
          <w:szCs w:val="20"/>
        </w:rPr>
      </w:pPr>
    </w:p>
    <w:p>
      <w:pPr>
        <w:autoSpaceDE w:val="0"/>
        <w:autoSpaceDN w:val="0"/>
        <w:adjustRightInd w:val="0"/>
        <w:spacing w:line="200" w:lineRule="exact"/>
        <w:jc w:val="left"/>
        <w:rPr>
          <w:rFonts w:cs="微软雅黑"/>
          <w:color w:val="auto"/>
          <w:kern w:val="0"/>
          <w:sz w:val="20"/>
          <w:szCs w:val="20"/>
        </w:rPr>
      </w:pPr>
    </w:p>
    <w:p>
      <w:pPr>
        <w:autoSpaceDE w:val="0"/>
        <w:autoSpaceDN w:val="0"/>
        <w:adjustRightInd w:val="0"/>
        <w:spacing w:line="200" w:lineRule="exact"/>
        <w:jc w:val="left"/>
        <w:rPr>
          <w:rFonts w:cs="微软雅黑"/>
          <w:color w:val="auto"/>
          <w:kern w:val="0"/>
          <w:sz w:val="20"/>
          <w:szCs w:val="20"/>
        </w:rPr>
      </w:pPr>
    </w:p>
    <w:p>
      <w:pPr>
        <w:autoSpaceDE w:val="0"/>
        <w:autoSpaceDN w:val="0"/>
        <w:adjustRightInd w:val="0"/>
        <w:spacing w:line="200" w:lineRule="exact"/>
        <w:jc w:val="left"/>
        <w:rPr>
          <w:rFonts w:cs="微软雅黑"/>
          <w:color w:val="auto"/>
          <w:kern w:val="0"/>
          <w:sz w:val="20"/>
          <w:szCs w:val="20"/>
        </w:rPr>
      </w:pPr>
    </w:p>
    <w:p>
      <w:pPr>
        <w:autoSpaceDE w:val="0"/>
        <w:autoSpaceDN w:val="0"/>
        <w:adjustRightInd w:val="0"/>
        <w:spacing w:before="16" w:line="360" w:lineRule="auto"/>
        <w:ind w:firstLine="480" w:firstLineChars="200"/>
        <w:jc w:val="left"/>
        <w:rPr>
          <w:rFonts w:cs="微软雅黑"/>
          <w:color w:val="auto"/>
          <w:kern w:val="0"/>
          <w:sz w:val="24"/>
          <w:szCs w:val="24"/>
        </w:rPr>
      </w:pPr>
    </w:p>
    <w:p>
      <w:pPr>
        <w:tabs>
          <w:tab w:val="left" w:pos="6940"/>
          <w:tab w:val="left" w:pos="7520"/>
        </w:tabs>
        <w:autoSpaceDE w:val="0"/>
        <w:autoSpaceDN w:val="0"/>
        <w:adjustRightInd w:val="0"/>
        <w:spacing w:line="360" w:lineRule="auto"/>
        <w:ind w:left="1201" w:right="52"/>
        <w:jc w:val="left"/>
        <w:rPr>
          <w:rFonts w:ascii="宋体" w:hAnsi="宋体" w:cs="微软雅黑"/>
          <w:color w:val="auto"/>
          <w:kern w:val="0"/>
          <w:sz w:val="24"/>
          <w:szCs w:val="28"/>
        </w:rPr>
      </w:pPr>
      <w:r>
        <w:rPr>
          <w:rFonts w:ascii="宋体" w:hAnsi="宋体" w:cs="微软雅黑"/>
          <w:color w:val="auto"/>
          <w:kern w:val="0"/>
          <w:sz w:val="24"/>
          <w:szCs w:val="28"/>
        </w:rPr>
        <w:t>投标人：</w:t>
      </w:r>
      <w:r>
        <w:rPr>
          <w:rFonts w:ascii="宋体" w:hAnsi="宋体" w:cs="微软雅黑"/>
          <w:color w:val="auto"/>
          <w:spacing w:val="57"/>
          <w:kern w:val="0"/>
          <w:sz w:val="24"/>
          <w:szCs w:val="28"/>
          <w:u w:val="single"/>
        </w:rPr>
        <w:t xml:space="preserve"> </w:t>
      </w:r>
      <w:r>
        <w:rPr>
          <w:rFonts w:ascii="宋体" w:hAnsi="宋体" w:cs="微软雅黑"/>
          <w:color w:val="auto"/>
          <w:kern w:val="0"/>
          <w:sz w:val="24"/>
          <w:szCs w:val="28"/>
          <w:u w:val="single"/>
        </w:rPr>
        <w:tab/>
      </w:r>
      <w:r>
        <w:rPr>
          <w:rFonts w:ascii="宋体" w:hAnsi="宋体" w:cs="微软雅黑"/>
          <w:color w:val="auto"/>
          <w:kern w:val="0"/>
          <w:sz w:val="24"/>
          <w:szCs w:val="28"/>
        </w:rPr>
        <w:t>(盖</w:t>
      </w:r>
      <w:r>
        <w:rPr>
          <w:rFonts w:ascii="宋体" w:hAnsi="宋体" w:cs="微软雅黑"/>
          <w:color w:val="auto"/>
          <w:spacing w:val="-3"/>
          <w:kern w:val="0"/>
          <w:sz w:val="24"/>
          <w:szCs w:val="28"/>
        </w:rPr>
        <w:t>单</w:t>
      </w:r>
      <w:r>
        <w:rPr>
          <w:rFonts w:ascii="宋体" w:hAnsi="宋体" w:cs="微软雅黑"/>
          <w:color w:val="auto"/>
          <w:kern w:val="0"/>
          <w:sz w:val="24"/>
          <w:szCs w:val="28"/>
        </w:rPr>
        <w:t>位</w:t>
      </w:r>
      <w:r>
        <w:rPr>
          <w:rFonts w:ascii="宋体" w:hAnsi="宋体" w:cs="微软雅黑"/>
          <w:color w:val="auto"/>
          <w:spacing w:val="-3"/>
          <w:kern w:val="0"/>
          <w:sz w:val="24"/>
          <w:szCs w:val="28"/>
        </w:rPr>
        <w:t>章</w:t>
      </w:r>
      <w:r>
        <w:rPr>
          <w:rFonts w:ascii="宋体" w:hAnsi="宋体" w:cs="微软雅黑"/>
          <w:color w:val="auto"/>
          <w:kern w:val="0"/>
          <w:sz w:val="24"/>
          <w:szCs w:val="28"/>
        </w:rPr>
        <w:t>)</w:t>
      </w:r>
    </w:p>
    <w:p>
      <w:pPr>
        <w:tabs>
          <w:tab w:val="left" w:pos="6940"/>
          <w:tab w:val="left" w:pos="7520"/>
        </w:tabs>
        <w:autoSpaceDE w:val="0"/>
        <w:autoSpaceDN w:val="0"/>
        <w:adjustRightInd w:val="0"/>
        <w:spacing w:line="360" w:lineRule="auto"/>
        <w:ind w:left="1201" w:right="52"/>
        <w:jc w:val="left"/>
        <w:rPr>
          <w:rFonts w:ascii="宋体" w:hAnsi="宋体" w:cs="微软雅黑"/>
          <w:color w:val="auto"/>
          <w:kern w:val="0"/>
          <w:sz w:val="24"/>
          <w:szCs w:val="28"/>
        </w:rPr>
      </w:pPr>
      <w:r>
        <w:rPr>
          <w:rFonts w:ascii="宋体" w:hAnsi="宋体" w:cs="微软雅黑"/>
          <w:color w:val="auto"/>
          <w:kern w:val="0"/>
          <w:sz w:val="24"/>
          <w:szCs w:val="28"/>
        </w:rPr>
        <w:t>法定代</w:t>
      </w:r>
      <w:r>
        <w:rPr>
          <w:rFonts w:ascii="宋体" w:hAnsi="宋体" w:cs="微软雅黑"/>
          <w:color w:val="auto"/>
          <w:spacing w:val="-3"/>
          <w:kern w:val="0"/>
          <w:sz w:val="24"/>
          <w:szCs w:val="28"/>
        </w:rPr>
        <w:t>表</w:t>
      </w:r>
      <w:r>
        <w:rPr>
          <w:rFonts w:ascii="宋体" w:hAnsi="宋体" w:cs="微软雅黑"/>
          <w:color w:val="auto"/>
          <w:kern w:val="0"/>
          <w:sz w:val="24"/>
          <w:szCs w:val="28"/>
        </w:rPr>
        <w:t>人或其</w:t>
      </w:r>
      <w:r>
        <w:rPr>
          <w:rFonts w:ascii="宋体" w:hAnsi="宋体" w:cs="微软雅黑"/>
          <w:color w:val="auto"/>
          <w:spacing w:val="-3"/>
          <w:kern w:val="0"/>
          <w:sz w:val="24"/>
          <w:szCs w:val="28"/>
        </w:rPr>
        <w:t>委托</w:t>
      </w:r>
      <w:r>
        <w:rPr>
          <w:rFonts w:ascii="宋体" w:hAnsi="宋体" w:cs="微软雅黑"/>
          <w:color w:val="auto"/>
          <w:kern w:val="0"/>
          <w:sz w:val="24"/>
          <w:szCs w:val="28"/>
        </w:rPr>
        <w:t>代理人</w:t>
      </w:r>
      <w:r>
        <w:rPr>
          <w:rFonts w:ascii="宋体" w:hAnsi="宋体" w:cs="微软雅黑"/>
          <w:color w:val="auto"/>
          <w:spacing w:val="2"/>
          <w:kern w:val="0"/>
          <w:sz w:val="24"/>
          <w:szCs w:val="28"/>
        </w:rPr>
        <w:t>：</w:t>
      </w:r>
      <w:r>
        <w:rPr>
          <w:rFonts w:ascii="宋体" w:hAnsi="宋体" w:cs="微软雅黑"/>
          <w:color w:val="auto"/>
          <w:spacing w:val="57"/>
          <w:kern w:val="0"/>
          <w:sz w:val="24"/>
          <w:szCs w:val="28"/>
          <w:u w:val="single"/>
        </w:rPr>
        <w:t xml:space="preserve"> </w:t>
      </w:r>
      <w:r>
        <w:rPr>
          <w:rFonts w:ascii="宋体" w:hAnsi="宋体" w:cs="微软雅黑"/>
          <w:color w:val="auto"/>
          <w:kern w:val="0"/>
          <w:sz w:val="24"/>
          <w:szCs w:val="28"/>
          <w:u w:val="single"/>
        </w:rPr>
        <w:tab/>
      </w:r>
      <w:r>
        <w:rPr>
          <w:rFonts w:ascii="宋体" w:hAnsi="宋体" w:cs="微软雅黑"/>
          <w:color w:val="auto"/>
          <w:kern w:val="0"/>
          <w:sz w:val="24"/>
          <w:szCs w:val="28"/>
        </w:rPr>
        <w:t>(</w:t>
      </w:r>
      <w:r>
        <w:rPr>
          <w:rFonts w:ascii="宋体" w:hAnsi="宋体" w:cs="微软雅黑"/>
          <w:color w:val="auto"/>
          <w:spacing w:val="-3"/>
          <w:kern w:val="0"/>
          <w:sz w:val="24"/>
          <w:szCs w:val="28"/>
        </w:rPr>
        <w:t>签</w:t>
      </w:r>
      <w:r>
        <w:rPr>
          <w:rFonts w:ascii="宋体" w:hAnsi="宋体" w:cs="微软雅黑"/>
          <w:color w:val="auto"/>
          <w:kern w:val="0"/>
          <w:sz w:val="24"/>
          <w:szCs w:val="28"/>
        </w:rPr>
        <w:t>字</w:t>
      </w:r>
      <w:r>
        <w:rPr>
          <w:rFonts w:hint="eastAsia" w:ascii="宋体" w:hAnsi="宋体" w:cs="微软雅黑"/>
          <w:color w:val="auto"/>
          <w:kern w:val="0"/>
          <w:sz w:val="24"/>
          <w:szCs w:val="28"/>
        </w:rPr>
        <w:t>或盖章</w:t>
      </w:r>
      <w:r>
        <w:rPr>
          <w:rFonts w:ascii="宋体" w:hAnsi="宋体" w:cs="微软雅黑"/>
          <w:color w:val="auto"/>
          <w:kern w:val="0"/>
          <w:sz w:val="24"/>
          <w:szCs w:val="28"/>
        </w:rPr>
        <w:t>)</w:t>
      </w:r>
    </w:p>
    <w:p>
      <w:pPr>
        <w:autoSpaceDE w:val="0"/>
        <w:autoSpaceDN w:val="0"/>
        <w:adjustRightInd w:val="0"/>
        <w:spacing w:before="3" w:line="130" w:lineRule="exact"/>
        <w:jc w:val="left"/>
        <w:rPr>
          <w:rFonts w:cs="微软雅黑"/>
          <w:color w:val="auto"/>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cs="微软雅黑"/>
          <w:color w:val="auto"/>
          <w:kern w:val="0"/>
          <w:sz w:val="24"/>
          <w:szCs w:val="28"/>
        </w:rPr>
      </w:pPr>
      <w:r>
        <w:rPr>
          <w:rFonts w:cs="微软雅黑"/>
          <w:color w:val="auto"/>
          <w:kern w:val="0"/>
          <w:sz w:val="24"/>
          <w:szCs w:val="28"/>
          <w:u w:val="single"/>
        </w:rPr>
        <w:tab/>
      </w:r>
      <w:r>
        <w:rPr>
          <w:rFonts w:cs="微软雅黑"/>
          <w:color w:val="auto"/>
          <w:spacing w:val="2"/>
          <w:kern w:val="0"/>
          <w:sz w:val="24"/>
          <w:szCs w:val="28"/>
        </w:rPr>
        <w:t>年</w:t>
      </w:r>
      <w:r>
        <w:rPr>
          <w:rFonts w:cs="微软雅黑"/>
          <w:color w:val="auto"/>
          <w:spacing w:val="57"/>
          <w:kern w:val="0"/>
          <w:sz w:val="24"/>
          <w:szCs w:val="28"/>
          <w:u w:val="single"/>
        </w:rPr>
        <w:t xml:space="preserve"> </w:t>
      </w:r>
      <w:r>
        <w:rPr>
          <w:rFonts w:cs="微软雅黑"/>
          <w:color w:val="auto"/>
          <w:kern w:val="0"/>
          <w:sz w:val="24"/>
          <w:szCs w:val="28"/>
          <w:u w:val="single"/>
        </w:rPr>
        <w:tab/>
      </w:r>
      <w:r>
        <w:rPr>
          <w:rFonts w:cs="微软雅黑"/>
          <w:color w:val="auto"/>
          <w:spacing w:val="2"/>
          <w:kern w:val="0"/>
          <w:sz w:val="24"/>
          <w:szCs w:val="28"/>
        </w:rPr>
        <w:t>月</w:t>
      </w:r>
      <w:r>
        <w:rPr>
          <w:rFonts w:cs="微软雅黑"/>
          <w:color w:val="auto"/>
          <w:kern w:val="0"/>
          <w:sz w:val="24"/>
          <w:szCs w:val="28"/>
          <w:u w:val="single"/>
        </w:rPr>
        <w:tab/>
      </w:r>
      <w:r>
        <w:rPr>
          <w:rFonts w:cs="微软雅黑"/>
          <w:color w:val="auto"/>
          <w:kern w:val="0"/>
          <w:sz w:val="24"/>
          <w:szCs w:val="28"/>
          <w:u w:val="single"/>
        </w:rPr>
        <w:t xml:space="preserve">     </w:t>
      </w:r>
      <w:r>
        <w:rPr>
          <w:rFonts w:cs="微软雅黑"/>
          <w:color w:val="auto"/>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cs="微软雅黑"/>
          <w:color w:val="auto"/>
          <w:kern w:val="0"/>
          <w:sz w:val="24"/>
          <w:szCs w:val="28"/>
        </w:rPr>
        <w:sectPr>
          <w:footerReference r:id="rId8" w:type="default"/>
          <w:pgSz w:w="11907" w:h="16840"/>
          <w:pgMar w:top="1134" w:right="1134" w:bottom="1134" w:left="1134" w:header="567" w:footer="567" w:gutter="0"/>
          <w:cols w:space="720" w:num="1"/>
        </w:sectPr>
      </w:pPr>
    </w:p>
    <w:p>
      <w:pPr>
        <w:autoSpaceDE w:val="0"/>
        <w:autoSpaceDN w:val="0"/>
        <w:adjustRightInd w:val="0"/>
        <w:spacing w:line="560" w:lineRule="exact"/>
        <w:jc w:val="center"/>
        <w:rPr>
          <w:rFonts w:cs="微软雅黑"/>
          <w:b/>
          <w:color w:val="auto"/>
          <w:kern w:val="0"/>
          <w:sz w:val="36"/>
          <w:szCs w:val="36"/>
        </w:rPr>
      </w:pPr>
      <w:r>
        <w:rPr>
          <w:rFonts w:cs="微软雅黑"/>
          <w:b/>
          <w:color w:val="auto"/>
          <w:kern w:val="0"/>
          <w:sz w:val="36"/>
          <w:szCs w:val="36"/>
        </w:rPr>
        <w:t>目 录</w:t>
      </w:r>
    </w:p>
    <w:p>
      <w:pPr>
        <w:pStyle w:val="14"/>
        <w:tabs>
          <w:tab w:val="left" w:pos="360"/>
        </w:tabs>
        <w:autoSpaceDE w:val="0"/>
        <w:autoSpaceDN w:val="0"/>
        <w:adjustRightInd w:val="0"/>
        <w:spacing w:line="560" w:lineRule="exact"/>
        <w:ind w:right="4013" w:firstLine="0" w:firstLineChars="0"/>
        <w:rPr>
          <w:rFonts w:ascii="微软雅黑" w:hAnsi="Times New Roman" w:cs="微软雅黑"/>
          <w:color w:val="auto"/>
          <w:spacing w:val="-2"/>
          <w:kern w:val="0"/>
          <w:sz w:val="22"/>
        </w:rPr>
      </w:pPr>
      <w:r>
        <w:rPr>
          <w:rFonts w:hint="eastAsia" w:ascii="微软雅黑" w:hAnsi="Times New Roman" w:cs="微软雅黑"/>
          <w:color w:val="auto"/>
          <w:spacing w:val="-2"/>
          <w:kern w:val="0"/>
          <w:sz w:val="22"/>
        </w:rPr>
        <w:t>一、</w:t>
      </w:r>
      <w:r>
        <w:rPr>
          <w:rFonts w:ascii="微软雅黑" w:hAnsi="Times New Roman" w:cs="微软雅黑"/>
          <w:color w:val="auto"/>
          <w:spacing w:val="-2"/>
          <w:kern w:val="0"/>
          <w:sz w:val="22"/>
        </w:rPr>
        <w:t>投标函；</w:t>
      </w:r>
    </w:p>
    <w:p>
      <w:pPr>
        <w:pStyle w:val="14"/>
        <w:tabs>
          <w:tab w:val="left" w:pos="360"/>
        </w:tabs>
        <w:autoSpaceDE w:val="0"/>
        <w:autoSpaceDN w:val="0"/>
        <w:adjustRightInd w:val="0"/>
        <w:spacing w:line="560" w:lineRule="exact"/>
        <w:ind w:firstLine="0" w:firstLineChars="0"/>
        <w:rPr>
          <w:rFonts w:ascii="微软雅黑" w:hAnsi="Times New Roman" w:cs="微软雅黑"/>
          <w:color w:val="auto"/>
          <w:spacing w:val="-2"/>
          <w:kern w:val="0"/>
          <w:sz w:val="22"/>
        </w:rPr>
      </w:pPr>
      <w:r>
        <w:rPr>
          <w:rFonts w:hint="eastAsia" w:ascii="宋体" w:hAnsi="宋体" w:cs="宋体"/>
          <w:color w:val="auto"/>
          <w:kern w:val="0"/>
          <w:sz w:val="22"/>
        </w:rPr>
        <w:t>二、法定代表人身份证明、</w:t>
      </w:r>
      <w:r>
        <w:rPr>
          <w:rFonts w:ascii="宋体" w:hAnsi="宋体" w:cs="宋体"/>
          <w:color w:val="auto"/>
          <w:kern w:val="0"/>
          <w:sz w:val="22"/>
        </w:rPr>
        <w:t>法定代表人授权委托书(投标文件</w:t>
      </w:r>
      <w:r>
        <w:rPr>
          <w:rFonts w:hint="eastAsia" w:ascii="宋体" w:hAnsi="宋体" w:cs="宋体"/>
          <w:color w:val="auto"/>
          <w:kern w:val="0"/>
          <w:sz w:val="22"/>
        </w:rPr>
        <w:t>由</w:t>
      </w:r>
      <w:r>
        <w:rPr>
          <w:rFonts w:ascii="宋体" w:hAnsi="宋体" w:cs="宋体"/>
          <w:color w:val="auto"/>
          <w:kern w:val="0"/>
          <w:sz w:val="22"/>
        </w:rPr>
        <w:t>委托代理人签字</w:t>
      </w:r>
      <w:r>
        <w:rPr>
          <w:rFonts w:hint="eastAsia" w:ascii="宋体" w:hAnsi="宋体" w:cs="宋体"/>
          <w:color w:val="auto"/>
          <w:kern w:val="0"/>
          <w:sz w:val="22"/>
        </w:rPr>
        <w:t>时</w:t>
      </w:r>
      <w:r>
        <w:rPr>
          <w:rFonts w:ascii="宋体" w:hAnsi="宋体" w:cs="宋体"/>
          <w:color w:val="auto"/>
          <w:kern w:val="0"/>
          <w:sz w:val="22"/>
        </w:rPr>
        <w:t>提供</w:t>
      </w:r>
      <w:r>
        <w:rPr>
          <w:rFonts w:hint="eastAsia" w:ascii="宋体" w:hAnsi="宋体" w:cs="宋体"/>
          <w:color w:val="auto"/>
          <w:kern w:val="0"/>
          <w:sz w:val="22"/>
        </w:rPr>
        <w:t>)</w:t>
      </w:r>
      <w:r>
        <w:rPr>
          <w:rFonts w:ascii="微软雅黑" w:hAnsi="Times New Roman" w:cs="微软雅黑"/>
          <w:color w:val="auto"/>
          <w:spacing w:val="-2"/>
          <w:kern w:val="0"/>
          <w:sz w:val="22"/>
        </w:rPr>
        <w:t>；</w:t>
      </w:r>
    </w:p>
    <w:p>
      <w:pPr>
        <w:pStyle w:val="14"/>
        <w:tabs>
          <w:tab w:val="left" w:pos="360"/>
        </w:tabs>
        <w:autoSpaceDE w:val="0"/>
        <w:autoSpaceDN w:val="0"/>
        <w:adjustRightInd w:val="0"/>
        <w:spacing w:line="560" w:lineRule="exact"/>
        <w:ind w:right="4013" w:firstLine="0" w:firstLineChars="0"/>
        <w:rPr>
          <w:rFonts w:ascii="微软雅黑" w:hAnsi="Times New Roman" w:cs="微软雅黑"/>
          <w:color w:val="auto"/>
          <w:spacing w:val="-2"/>
          <w:kern w:val="0"/>
          <w:sz w:val="22"/>
        </w:rPr>
      </w:pPr>
      <w:r>
        <w:rPr>
          <w:rFonts w:hint="eastAsia" w:ascii="微软雅黑" w:hAnsi="Times New Roman" w:cs="微软雅黑"/>
          <w:color w:val="auto"/>
          <w:spacing w:val="-2"/>
          <w:kern w:val="0"/>
          <w:sz w:val="22"/>
        </w:rPr>
        <w:t>三、</w:t>
      </w:r>
      <w:r>
        <w:rPr>
          <w:rFonts w:ascii="微软雅黑" w:hAnsi="Times New Roman" w:cs="微软雅黑"/>
          <w:color w:val="auto"/>
          <w:spacing w:val="-2"/>
          <w:kern w:val="0"/>
          <w:sz w:val="22"/>
        </w:rPr>
        <w:t>已标价工程量清单；</w:t>
      </w:r>
    </w:p>
    <w:p>
      <w:pPr>
        <w:pStyle w:val="14"/>
        <w:tabs>
          <w:tab w:val="left" w:pos="360"/>
        </w:tabs>
        <w:autoSpaceDE w:val="0"/>
        <w:autoSpaceDN w:val="0"/>
        <w:adjustRightInd w:val="0"/>
        <w:spacing w:line="560" w:lineRule="exact"/>
        <w:ind w:right="4013" w:firstLine="0" w:firstLineChars="0"/>
        <w:rPr>
          <w:rFonts w:ascii="微软雅黑" w:hAnsi="Times New Roman" w:cs="微软雅黑"/>
          <w:color w:val="auto"/>
          <w:spacing w:val="-2"/>
          <w:kern w:val="0"/>
          <w:sz w:val="22"/>
        </w:rPr>
      </w:pPr>
      <w:r>
        <w:rPr>
          <w:rFonts w:hint="eastAsia" w:ascii="微软雅黑" w:hAnsi="Times New Roman" w:cs="微软雅黑"/>
          <w:color w:val="auto"/>
          <w:spacing w:val="-2"/>
          <w:kern w:val="0"/>
          <w:sz w:val="22"/>
        </w:rPr>
        <w:t>四、</w:t>
      </w:r>
      <w:r>
        <w:rPr>
          <w:rFonts w:ascii="微软雅黑" w:hAnsi="Times New Roman" w:cs="微软雅黑"/>
          <w:color w:val="auto"/>
          <w:spacing w:val="-2"/>
          <w:kern w:val="0"/>
          <w:sz w:val="22"/>
        </w:rPr>
        <w:t>投标人</w:t>
      </w:r>
      <w:r>
        <w:rPr>
          <w:rFonts w:hint="eastAsia" w:ascii="微软雅黑" w:hAnsi="Times New Roman" w:cs="微软雅黑"/>
          <w:color w:val="auto"/>
          <w:spacing w:val="-2"/>
          <w:kern w:val="0"/>
          <w:sz w:val="22"/>
        </w:rPr>
        <w:t>认为需要提供的</w:t>
      </w:r>
      <w:r>
        <w:rPr>
          <w:rFonts w:ascii="微软雅黑" w:hAnsi="Times New Roman" w:cs="微软雅黑"/>
          <w:color w:val="auto"/>
          <w:spacing w:val="-2"/>
          <w:kern w:val="0"/>
          <w:sz w:val="22"/>
        </w:rPr>
        <w:t>其他材料。</w:t>
      </w:r>
    </w:p>
    <w:p>
      <w:pPr>
        <w:pStyle w:val="14"/>
        <w:tabs>
          <w:tab w:val="left" w:pos="360"/>
        </w:tabs>
        <w:autoSpaceDE w:val="0"/>
        <w:autoSpaceDN w:val="0"/>
        <w:adjustRightInd w:val="0"/>
        <w:spacing w:line="560" w:lineRule="exact"/>
        <w:ind w:right="4013" w:firstLine="0" w:firstLineChars="0"/>
        <w:rPr>
          <w:rFonts w:ascii="微软雅黑" w:hAnsi="Times New Roman" w:cs="微软雅黑"/>
          <w:b/>
          <w:bCs/>
          <w:color w:val="auto"/>
          <w:spacing w:val="-2"/>
          <w:kern w:val="0"/>
          <w:sz w:val="22"/>
        </w:rPr>
      </w:pPr>
      <w:r>
        <w:rPr>
          <w:rFonts w:hint="eastAsia" w:ascii="微软雅黑" w:hAnsi="Times New Roman" w:cs="微软雅黑"/>
          <w:b/>
          <w:bCs/>
          <w:color w:val="auto"/>
          <w:spacing w:val="-2"/>
          <w:kern w:val="0"/>
          <w:sz w:val="22"/>
        </w:rPr>
        <w:t>注：未提供格式的由投标人自行拟定格式。</w:t>
      </w:r>
    </w:p>
    <w:p>
      <w:pPr>
        <w:autoSpaceDE w:val="0"/>
        <w:autoSpaceDN w:val="0"/>
        <w:adjustRightInd w:val="0"/>
        <w:snapToGrid w:val="0"/>
        <w:spacing w:line="560" w:lineRule="exact"/>
        <w:ind w:firstLine="723" w:firstLineChars="200"/>
        <w:rPr>
          <w:rFonts w:ascii="宋体" w:hAnsi="宋体" w:cs="微软雅黑"/>
          <w:b/>
          <w:color w:val="auto"/>
          <w:kern w:val="0"/>
          <w:sz w:val="36"/>
          <w:szCs w:val="36"/>
        </w:rPr>
      </w:pPr>
      <w:r>
        <w:rPr>
          <w:rFonts w:ascii="宋体" w:hAnsi="宋体" w:cs="微软雅黑"/>
          <w:b/>
          <w:color w:val="auto"/>
          <w:kern w:val="0"/>
          <w:sz w:val="36"/>
          <w:szCs w:val="36"/>
        </w:rPr>
        <w:br w:type="page"/>
      </w:r>
    </w:p>
    <w:p>
      <w:pPr>
        <w:autoSpaceDE w:val="0"/>
        <w:autoSpaceDN w:val="0"/>
        <w:adjustRightInd w:val="0"/>
        <w:spacing w:line="560" w:lineRule="exact"/>
        <w:jc w:val="center"/>
        <w:rPr>
          <w:rFonts w:cs="微软雅黑"/>
          <w:b/>
          <w:color w:val="auto"/>
          <w:kern w:val="0"/>
          <w:sz w:val="36"/>
          <w:szCs w:val="36"/>
        </w:rPr>
      </w:pPr>
      <w:r>
        <w:rPr>
          <w:rFonts w:cs="微软雅黑"/>
          <w:b/>
          <w:color w:val="auto"/>
          <w:kern w:val="0"/>
          <w:sz w:val="36"/>
          <w:szCs w:val="36"/>
        </w:rPr>
        <w:t>一、投标函</w:t>
      </w:r>
    </w:p>
    <w:p>
      <w:pPr>
        <w:snapToGrid w:val="0"/>
        <w:spacing w:line="360" w:lineRule="exact"/>
        <w:rPr>
          <w:rFonts w:cs="宋体"/>
          <w:b/>
          <w:color w:val="auto"/>
          <w:sz w:val="22"/>
        </w:rPr>
      </w:pPr>
      <w:r>
        <w:rPr>
          <w:rFonts w:cs="宋体"/>
          <w:b/>
          <w:color w:val="auto"/>
          <w:sz w:val="22"/>
          <w:u w:val="single"/>
        </w:rPr>
        <w:t xml:space="preserve">                    </w:t>
      </w:r>
      <w:r>
        <w:rPr>
          <w:rFonts w:cs="宋体"/>
          <w:b/>
          <w:color w:val="auto"/>
          <w:sz w:val="22"/>
        </w:rPr>
        <w:t>(招标人)：</w:t>
      </w:r>
    </w:p>
    <w:p>
      <w:pPr>
        <w:snapToGrid w:val="0"/>
        <w:spacing w:line="360" w:lineRule="exact"/>
        <w:ind w:firstLine="440" w:firstLineChars="200"/>
        <w:rPr>
          <w:rFonts w:cs="宋体"/>
          <w:b/>
          <w:color w:val="auto"/>
          <w:sz w:val="22"/>
        </w:rPr>
      </w:pPr>
      <w:r>
        <w:rPr>
          <w:rFonts w:cs="宋体"/>
          <w:color w:val="auto"/>
          <w:sz w:val="22"/>
        </w:rPr>
        <w:t>我方已全面阅读和研究了</w:t>
      </w:r>
      <w:r>
        <w:rPr>
          <w:rFonts w:cs="宋体"/>
          <w:b/>
          <w:bCs/>
          <w:color w:val="auto"/>
          <w:sz w:val="22"/>
          <w:u w:val="single"/>
        </w:rPr>
        <w:t xml:space="preserve">                           </w:t>
      </w:r>
      <w:r>
        <w:rPr>
          <w:rFonts w:cs="宋体"/>
          <w:b/>
          <w:bCs/>
          <w:color w:val="auto"/>
          <w:sz w:val="22"/>
        </w:rPr>
        <w:t>项目</w:t>
      </w:r>
      <w:r>
        <w:rPr>
          <w:rFonts w:cs="宋体"/>
          <w:color w:val="auto"/>
          <w:sz w:val="22"/>
        </w:rPr>
        <w:t>招标文件和招标补充文件，并经过对项目现场的踏勘，澄清疑问，已充分理解并掌握了本项目招标的全部有关情况。同意接受招标文件的全部内容和条件，并按此确定本项目投标的要约内容，以本投标文件向你方发包的全部内容进行投标。投标报价为：人民币(大写)</w:t>
      </w:r>
      <w:r>
        <w:rPr>
          <w:rFonts w:cs="宋体"/>
          <w:color w:val="auto"/>
          <w:sz w:val="22"/>
          <w:u w:val="single"/>
        </w:rPr>
        <w:t xml:space="preserve">       </w:t>
      </w:r>
      <w:r>
        <w:rPr>
          <w:rFonts w:hint="eastAsia" w:cs="宋体"/>
          <w:color w:val="auto"/>
          <w:sz w:val="22"/>
          <w:u w:val="single"/>
        </w:rPr>
        <w:t xml:space="preserve">           </w:t>
      </w:r>
      <w:r>
        <w:rPr>
          <w:rFonts w:cs="宋体"/>
          <w:color w:val="auto"/>
          <w:kern w:val="0"/>
          <w:sz w:val="22"/>
        </w:rPr>
        <w:t>(</w:t>
      </w:r>
      <w:r>
        <w:rPr>
          <w:rFonts w:cs="宋体"/>
          <w:color w:val="auto"/>
          <w:spacing w:val="-61"/>
          <w:kern w:val="0"/>
          <w:sz w:val="22"/>
        </w:rPr>
        <w:t>¥</w:t>
      </w:r>
      <w:r>
        <w:rPr>
          <w:rFonts w:cs="宋体"/>
          <w:color w:val="auto"/>
          <w:spacing w:val="43"/>
          <w:kern w:val="0"/>
          <w:sz w:val="22"/>
          <w:u w:val="single"/>
        </w:rPr>
        <w:t xml:space="preserve">    </w:t>
      </w:r>
      <w:r>
        <w:rPr>
          <w:rFonts w:hint="eastAsia" w:cs="宋体"/>
          <w:color w:val="auto"/>
          <w:spacing w:val="43"/>
          <w:kern w:val="0"/>
          <w:sz w:val="22"/>
          <w:u w:val="single"/>
        </w:rPr>
        <w:t xml:space="preserve">         </w:t>
      </w:r>
      <w:r>
        <w:rPr>
          <w:rFonts w:cs="宋体"/>
          <w:color w:val="auto"/>
          <w:spacing w:val="43"/>
          <w:kern w:val="0"/>
          <w:sz w:val="22"/>
          <w:u w:val="single"/>
        </w:rPr>
        <w:t xml:space="preserve">   </w:t>
      </w:r>
      <w:r>
        <w:rPr>
          <w:rFonts w:cs="宋体"/>
          <w:color w:val="auto"/>
          <w:kern w:val="0"/>
          <w:sz w:val="22"/>
          <w:u w:val="single"/>
        </w:rPr>
        <w:tab/>
      </w:r>
      <w:r>
        <w:rPr>
          <w:rFonts w:cs="宋体"/>
          <w:color w:val="auto"/>
          <w:kern w:val="0"/>
          <w:sz w:val="22"/>
          <w:u w:val="single"/>
        </w:rPr>
        <w:tab/>
      </w:r>
      <w:r>
        <w:rPr>
          <w:rFonts w:cs="宋体"/>
          <w:color w:val="auto"/>
          <w:spacing w:val="-12"/>
          <w:kern w:val="0"/>
          <w:sz w:val="22"/>
        </w:rPr>
        <w:t>)</w:t>
      </w:r>
      <w:r>
        <w:rPr>
          <w:rFonts w:cs="宋体"/>
          <w:color w:val="auto"/>
          <w:kern w:val="0"/>
          <w:sz w:val="22"/>
        </w:rPr>
        <w:t>；</w:t>
      </w:r>
      <w:r>
        <w:rPr>
          <w:rFonts w:cs="宋体"/>
          <w:color w:val="auto"/>
          <w:sz w:val="22"/>
        </w:rPr>
        <w:t>项目负责人为：</w:t>
      </w:r>
      <w:r>
        <w:rPr>
          <w:rFonts w:cs="宋体"/>
          <w:color w:val="auto"/>
          <w:sz w:val="22"/>
          <w:u w:val="single"/>
        </w:rPr>
        <w:t xml:space="preserve">    </w:t>
      </w:r>
      <w:r>
        <w:rPr>
          <w:rFonts w:hint="eastAsia" w:cs="宋体"/>
          <w:color w:val="auto"/>
          <w:sz w:val="22"/>
          <w:u w:val="single"/>
        </w:rPr>
        <w:t xml:space="preserve">      </w:t>
      </w:r>
      <w:r>
        <w:rPr>
          <w:rFonts w:cs="宋体"/>
          <w:color w:val="auto"/>
          <w:sz w:val="22"/>
          <w:u w:val="single"/>
        </w:rPr>
        <w:t xml:space="preserve">        </w:t>
      </w:r>
      <w:r>
        <w:rPr>
          <w:rFonts w:cs="宋体"/>
          <w:color w:val="auto"/>
          <w:sz w:val="22"/>
        </w:rPr>
        <w:t>(身份证号码：</w:t>
      </w:r>
      <w:r>
        <w:rPr>
          <w:rFonts w:cs="宋体"/>
          <w:color w:val="auto"/>
          <w:sz w:val="22"/>
          <w:u w:val="single"/>
        </w:rPr>
        <w:t xml:space="preserve">             </w:t>
      </w:r>
      <w:r>
        <w:rPr>
          <w:rFonts w:hint="eastAsia" w:cs="宋体"/>
          <w:color w:val="auto"/>
          <w:sz w:val="22"/>
        </w:rPr>
        <w:t>，电话号码：</w:t>
      </w:r>
      <w:r>
        <w:rPr>
          <w:rFonts w:hint="eastAsia" w:cs="宋体"/>
          <w:color w:val="auto"/>
          <w:sz w:val="22"/>
          <w:u w:val="single"/>
        </w:rPr>
        <w:t xml:space="preserve">                          </w:t>
      </w:r>
      <w:r>
        <w:rPr>
          <w:rFonts w:cs="宋体"/>
          <w:color w:val="auto"/>
          <w:sz w:val="22"/>
        </w:rPr>
        <w:t>)</w:t>
      </w:r>
      <w:r>
        <w:rPr>
          <w:rFonts w:hint="eastAsia" w:cs="宋体"/>
          <w:color w:val="auto"/>
          <w:sz w:val="22"/>
        </w:rPr>
        <w:t>；</w:t>
      </w:r>
      <w:r>
        <w:rPr>
          <w:rFonts w:cs="宋体"/>
          <w:color w:val="auto"/>
          <w:sz w:val="22"/>
        </w:rPr>
        <w:t>工期</w:t>
      </w:r>
      <w:r>
        <w:rPr>
          <w:rFonts w:cs="宋体"/>
          <w:color w:val="auto"/>
          <w:sz w:val="22"/>
          <w:u w:val="single"/>
        </w:rPr>
        <w:t xml:space="preserve">  </w:t>
      </w:r>
      <w:r>
        <w:rPr>
          <w:rFonts w:hint="eastAsia" w:cs="宋体"/>
          <w:b/>
          <w:color w:val="auto"/>
          <w:sz w:val="22"/>
          <w:u w:val="single"/>
        </w:rPr>
        <w:t xml:space="preserve">                                   </w:t>
      </w:r>
      <w:r>
        <w:rPr>
          <w:rFonts w:hint="eastAsia" w:ascii="宋体" w:hAnsi="宋体"/>
          <w:color w:val="auto"/>
          <w:sz w:val="22"/>
        </w:rPr>
        <w:t>日历天</w:t>
      </w:r>
      <w:r>
        <w:rPr>
          <w:rFonts w:hint="eastAsia" w:cs="宋体"/>
          <w:b/>
          <w:color w:val="auto"/>
          <w:sz w:val="22"/>
        </w:rPr>
        <w:t>；</w:t>
      </w:r>
      <w:r>
        <w:rPr>
          <w:rFonts w:hint="eastAsia" w:ascii="宋体" w:hAnsi="宋体" w:cs="宋体"/>
          <w:color w:val="auto"/>
          <w:sz w:val="22"/>
        </w:rPr>
        <w:t>工程质量达到一次验收合格</w:t>
      </w:r>
      <w:r>
        <w:rPr>
          <w:rFonts w:cs="宋体"/>
          <w:color w:val="auto"/>
          <w:sz w:val="22"/>
        </w:rPr>
        <w:t>。</w:t>
      </w:r>
    </w:p>
    <w:p>
      <w:pPr>
        <w:snapToGrid w:val="0"/>
        <w:spacing w:line="360" w:lineRule="exact"/>
        <w:ind w:firstLine="440" w:firstLineChars="200"/>
        <w:rPr>
          <w:rFonts w:cs="宋体"/>
          <w:b/>
          <w:color w:val="auto"/>
          <w:sz w:val="22"/>
        </w:rPr>
      </w:pPr>
      <w:r>
        <w:rPr>
          <w:rFonts w:ascii="宋体" w:hAnsi="宋体"/>
          <w:color w:val="auto"/>
          <w:sz w:val="22"/>
        </w:rPr>
        <w:t>1</w:t>
      </w:r>
      <w:r>
        <w:rPr>
          <w:rFonts w:hint="eastAsia" w:ascii="宋体" w:hAnsi="宋体"/>
          <w:color w:val="auto"/>
          <w:sz w:val="22"/>
        </w:rPr>
        <w:t>.根据招标人要求，做出如下承诺：</w:t>
      </w:r>
    </w:p>
    <w:p>
      <w:pPr>
        <w:snapToGrid w:val="0"/>
        <w:spacing w:line="360" w:lineRule="exact"/>
        <w:ind w:firstLine="440" w:firstLineChars="200"/>
        <w:rPr>
          <w:rFonts w:ascii="宋体" w:hAnsi="宋体" w:cs="Arial"/>
          <w:b/>
          <w:color w:val="auto"/>
          <w:sz w:val="22"/>
        </w:rPr>
      </w:pPr>
      <w:r>
        <w:rPr>
          <w:rFonts w:ascii="宋体" w:hAnsi="宋体"/>
          <w:color w:val="auto"/>
          <w:sz w:val="22"/>
        </w:rPr>
        <w:t>(1</w:t>
      </w:r>
      <w:r>
        <w:rPr>
          <w:rFonts w:hint="eastAsia" w:ascii="宋体" w:hAnsi="宋体"/>
          <w:color w:val="auto"/>
          <w:sz w:val="22"/>
        </w:rPr>
        <w:t>)</w:t>
      </w:r>
      <w:r>
        <w:rPr>
          <w:rFonts w:hint="eastAsia" w:ascii="宋体" w:hAnsi="宋体" w:cs="Arial"/>
          <w:b/>
          <w:color w:val="auto"/>
          <w:sz w:val="22"/>
        </w:rPr>
        <w:t>本工程计日工单价为：</w:t>
      </w:r>
      <w:r>
        <w:rPr>
          <w:rFonts w:hint="eastAsia" w:ascii="宋体" w:hAnsi="宋体" w:cs="Arial"/>
          <w:b/>
          <w:color w:val="auto"/>
          <w:sz w:val="22"/>
          <w:u w:val="single"/>
        </w:rPr>
        <w:t xml:space="preserve">      </w:t>
      </w:r>
      <w:r>
        <w:rPr>
          <w:rFonts w:hint="eastAsia" w:ascii="宋体" w:hAnsi="宋体" w:cs="Arial"/>
          <w:b/>
          <w:color w:val="auto"/>
          <w:sz w:val="22"/>
        </w:rPr>
        <w:t>元/工日；</w:t>
      </w:r>
    </w:p>
    <w:p>
      <w:pPr>
        <w:snapToGrid w:val="0"/>
        <w:spacing w:line="360" w:lineRule="exact"/>
        <w:ind w:firstLine="440" w:firstLineChars="200"/>
        <w:rPr>
          <w:rFonts w:cs="宋体"/>
          <w:b/>
          <w:color w:val="auto"/>
          <w:sz w:val="22"/>
        </w:rPr>
      </w:pPr>
      <w:r>
        <w:rPr>
          <w:rFonts w:ascii="宋体" w:hAnsi="宋体"/>
          <w:color w:val="auto"/>
          <w:sz w:val="22"/>
        </w:rPr>
        <w:t>(2</w:t>
      </w:r>
      <w:r>
        <w:rPr>
          <w:rFonts w:hint="eastAsia" w:ascii="宋体" w:hAnsi="宋体"/>
          <w:color w:val="auto"/>
          <w:sz w:val="22"/>
        </w:rPr>
        <w:t>)</w:t>
      </w:r>
      <w:r>
        <w:rPr>
          <w:rFonts w:hint="eastAsia" w:ascii="宋体" w:hAnsi="宋体"/>
          <w:b/>
          <w:bCs/>
          <w:color w:val="auto"/>
          <w:sz w:val="22"/>
        </w:rPr>
        <w:t>我方承诺</w:t>
      </w:r>
      <w:r>
        <w:rPr>
          <w:rFonts w:ascii="宋体" w:hAnsi="宋体"/>
          <w:b/>
          <w:bCs/>
          <w:color w:val="auto"/>
          <w:spacing w:val="-1"/>
          <w:sz w:val="22"/>
        </w:rPr>
        <w:t>可提供增值税</w:t>
      </w:r>
      <w:r>
        <w:rPr>
          <w:rFonts w:hint="eastAsia" w:ascii="宋体" w:hAnsi="宋体"/>
          <w:b/>
          <w:bCs/>
          <w:color w:val="auto"/>
          <w:spacing w:val="-1"/>
          <w:sz w:val="22"/>
        </w:rPr>
        <w:t>率为</w:t>
      </w:r>
      <w:r>
        <w:rPr>
          <w:rFonts w:hint="eastAsia" w:ascii="宋体" w:hAnsi="宋体"/>
          <w:b/>
          <w:bCs/>
          <w:color w:val="auto"/>
          <w:spacing w:val="-1"/>
          <w:sz w:val="22"/>
          <w:u w:val="single"/>
        </w:rPr>
        <w:t xml:space="preserve"> </w:t>
      </w:r>
      <w:r>
        <w:rPr>
          <w:rFonts w:ascii="宋体" w:hAnsi="宋体"/>
          <w:b/>
          <w:bCs/>
          <w:color w:val="auto"/>
          <w:spacing w:val="-1"/>
          <w:sz w:val="22"/>
          <w:u w:val="single"/>
        </w:rPr>
        <w:t xml:space="preserve">   </w:t>
      </w:r>
      <w:r>
        <w:rPr>
          <w:rFonts w:ascii="宋体" w:hAnsi="宋体"/>
          <w:b/>
          <w:bCs/>
          <w:color w:val="auto"/>
          <w:spacing w:val="-1"/>
          <w:sz w:val="22"/>
        </w:rPr>
        <w:t>%</w:t>
      </w:r>
      <w:r>
        <w:rPr>
          <w:rFonts w:hint="eastAsia" w:ascii="宋体" w:hAnsi="宋体"/>
          <w:b/>
          <w:bCs/>
          <w:color w:val="auto"/>
          <w:spacing w:val="-1"/>
          <w:sz w:val="22"/>
        </w:rPr>
        <w:t>的增值税</w:t>
      </w:r>
      <w:r>
        <w:rPr>
          <w:rFonts w:ascii="宋体" w:hAnsi="宋体"/>
          <w:b/>
          <w:bCs/>
          <w:color w:val="auto"/>
          <w:spacing w:val="-1"/>
          <w:sz w:val="22"/>
        </w:rPr>
        <w:t>专用发票</w:t>
      </w:r>
      <w:r>
        <w:rPr>
          <w:rFonts w:hint="eastAsia" w:ascii="宋体" w:hAnsi="宋体"/>
          <w:b/>
          <w:bCs/>
          <w:color w:val="auto"/>
          <w:sz w:val="22"/>
        </w:rPr>
        <w:t>；</w:t>
      </w:r>
    </w:p>
    <w:p>
      <w:pPr>
        <w:snapToGrid w:val="0"/>
        <w:spacing w:line="360" w:lineRule="exact"/>
        <w:ind w:firstLine="440" w:firstLineChars="200"/>
        <w:rPr>
          <w:rFonts w:cs="宋体"/>
          <w:b/>
          <w:color w:val="auto"/>
          <w:sz w:val="22"/>
        </w:rPr>
      </w:pPr>
      <w:r>
        <w:rPr>
          <w:rFonts w:ascii="宋体" w:hAnsi="宋体"/>
          <w:color w:val="auto"/>
          <w:sz w:val="22"/>
        </w:rPr>
        <w:t>(</w:t>
      </w:r>
      <w:r>
        <w:rPr>
          <w:rFonts w:hint="eastAsia" w:ascii="宋体" w:hAnsi="宋体"/>
          <w:color w:val="auto"/>
          <w:sz w:val="22"/>
        </w:rPr>
        <w:t>3)如我方中标，在收到中标通知书后，在中标通知书规定的期限内与你方签订合同；</w:t>
      </w:r>
    </w:p>
    <w:p>
      <w:pPr>
        <w:snapToGrid w:val="0"/>
        <w:spacing w:line="360" w:lineRule="exact"/>
        <w:ind w:firstLine="440" w:firstLineChars="200"/>
        <w:rPr>
          <w:color w:val="auto"/>
          <w:kern w:val="0"/>
          <w:sz w:val="22"/>
        </w:rPr>
      </w:pPr>
      <w:r>
        <w:rPr>
          <w:rFonts w:hint="eastAsia" w:ascii="宋体" w:hAnsi="宋体"/>
          <w:color w:val="auto"/>
          <w:sz w:val="22"/>
        </w:rPr>
        <w:t>(4)</w:t>
      </w:r>
      <w:r>
        <w:rPr>
          <w:color w:val="auto"/>
          <w:kern w:val="0"/>
          <w:sz w:val="22"/>
        </w:rPr>
        <w:t>在招投标过程中，廉洁自律并对所获悉的招标人的相关信息予以保密</w:t>
      </w:r>
      <w:r>
        <w:rPr>
          <w:rFonts w:hint="eastAsia"/>
          <w:color w:val="auto"/>
          <w:kern w:val="0"/>
          <w:sz w:val="22"/>
        </w:rPr>
        <w:t>；</w:t>
      </w:r>
    </w:p>
    <w:p>
      <w:pPr>
        <w:snapToGrid w:val="0"/>
        <w:spacing w:line="360" w:lineRule="exact"/>
        <w:ind w:firstLine="440" w:firstLineChars="200"/>
        <w:rPr>
          <w:rFonts w:ascii="宋体" w:hAnsi="宋体" w:cs="宋体"/>
          <w:color w:val="auto"/>
          <w:sz w:val="22"/>
        </w:rPr>
      </w:pPr>
      <w:r>
        <w:rPr>
          <w:rFonts w:hint="eastAsia" w:ascii="宋体" w:hAnsi="宋体"/>
          <w:color w:val="auto"/>
          <w:sz w:val="22"/>
        </w:rPr>
        <w:t>(5)</w:t>
      </w:r>
      <w:r>
        <w:rPr>
          <w:rFonts w:ascii="宋体" w:hAnsi="宋体"/>
          <w:color w:val="auto"/>
          <w:sz w:val="22"/>
        </w:rPr>
        <w:t>我方承诺</w:t>
      </w:r>
      <w:r>
        <w:rPr>
          <w:rFonts w:hint="eastAsia" w:ascii="宋体" w:hAnsi="宋体"/>
          <w:color w:val="auto"/>
          <w:sz w:val="22"/>
        </w:rPr>
        <w:t>所递交的投标文件及有关资料内容完整、真实和准确。</w:t>
      </w:r>
    </w:p>
    <w:p>
      <w:pPr>
        <w:snapToGrid w:val="0"/>
        <w:spacing w:line="360" w:lineRule="exact"/>
        <w:ind w:firstLine="440"/>
        <w:rPr>
          <w:rFonts w:cs="宋体"/>
          <w:b/>
          <w:color w:val="auto"/>
          <w:sz w:val="22"/>
        </w:rPr>
      </w:pPr>
      <w:r>
        <w:rPr>
          <w:color w:val="auto"/>
          <w:kern w:val="0"/>
          <w:sz w:val="22"/>
        </w:rPr>
        <w:t>以上承诺如有虚假给招标人造成损失的，愿意依法承担</w:t>
      </w:r>
      <w:r>
        <w:rPr>
          <w:rFonts w:hint="eastAsia"/>
          <w:color w:val="auto"/>
          <w:kern w:val="0"/>
          <w:sz w:val="22"/>
        </w:rPr>
        <w:t>全部</w:t>
      </w:r>
      <w:r>
        <w:rPr>
          <w:color w:val="auto"/>
          <w:kern w:val="0"/>
          <w:sz w:val="22"/>
        </w:rPr>
        <w:t>责任。如已中标，同意招标人取消我公司中标资格的处理。</w:t>
      </w:r>
    </w:p>
    <w:p>
      <w:pPr>
        <w:snapToGrid w:val="0"/>
        <w:spacing w:line="360" w:lineRule="exact"/>
        <w:ind w:firstLine="440" w:firstLineChars="200"/>
        <w:rPr>
          <w:rFonts w:cs="宋体"/>
          <w:color w:val="auto"/>
          <w:sz w:val="22"/>
        </w:rPr>
      </w:pPr>
      <w:r>
        <w:rPr>
          <w:rFonts w:hint="eastAsia" w:ascii="宋体" w:hAnsi="宋体"/>
          <w:color w:val="auto"/>
          <w:sz w:val="22"/>
        </w:rPr>
        <w:t>2.我方已详细审查招标文件包括澄清函和修改文件</w:t>
      </w:r>
      <w:r>
        <w:rPr>
          <w:rFonts w:ascii="宋体" w:hAnsi="宋体"/>
          <w:color w:val="auto"/>
          <w:sz w:val="22"/>
        </w:rPr>
        <w:t>(若有)、所有</w:t>
      </w:r>
      <w:r>
        <w:rPr>
          <w:rFonts w:hint="eastAsia" w:ascii="宋体" w:hAnsi="宋体"/>
          <w:color w:val="auto"/>
          <w:sz w:val="22"/>
        </w:rPr>
        <w:t>已</w:t>
      </w:r>
      <w:r>
        <w:rPr>
          <w:rFonts w:ascii="宋体" w:hAnsi="宋体"/>
          <w:color w:val="auto"/>
          <w:sz w:val="22"/>
        </w:rPr>
        <w:t>提供的资料以及有关附件，我</w:t>
      </w:r>
      <w:r>
        <w:rPr>
          <w:rFonts w:hint="eastAsia" w:ascii="宋体" w:hAnsi="宋体"/>
          <w:color w:val="auto"/>
          <w:sz w:val="22"/>
        </w:rPr>
        <w:t>方</w:t>
      </w:r>
      <w:r>
        <w:rPr>
          <w:rFonts w:ascii="宋体" w:hAnsi="宋体"/>
          <w:color w:val="auto"/>
          <w:sz w:val="22"/>
        </w:rPr>
        <w:t>已完全理解上述文件的全部内容</w:t>
      </w:r>
      <w:r>
        <w:rPr>
          <w:rFonts w:hint="eastAsia" w:ascii="宋体" w:hAnsi="宋体"/>
          <w:color w:val="auto"/>
          <w:sz w:val="22"/>
        </w:rPr>
        <w:t>且无异议</w:t>
      </w:r>
      <w:r>
        <w:rPr>
          <w:rFonts w:ascii="宋体" w:hAnsi="宋体"/>
          <w:color w:val="auto"/>
          <w:sz w:val="22"/>
        </w:rPr>
        <w:t>，并放弃提出任何误解或不明作为抗辩的权利。</w:t>
      </w:r>
    </w:p>
    <w:p>
      <w:pPr>
        <w:snapToGrid w:val="0"/>
        <w:spacing w:line="360" w:lineRule="exact"/>
        <w:ind w:firstLine="440" w:firstLineChars="200"/>
        <w:rPr>
          <w:rFonts w:cs="宋体"/>
          <w:color w:val="auto"/>
          <w:sz w:val="22"/>
        </w:rPr>
      </w:pPr>
      <w:r>
        <w:rPr>
          <w:rFonts w:hint="eastAsia" w:ascii="宋体" w:hAnsi="宋体"/>
          <w:color w:val="auto"/>
          <w:sz w:val="22"/>
        </w:rPr>
        <w:t>3.我方同意按照你方可能提出的要求，提供有关的任何其它数字或资料，并对你方可能不接受最低报价及任何报价表示理解。</w:t>
      </w:r>
    </w:p>
    <w:p>
      <w:pPr>
        <w:snapToGrid w:val="0"/>
        <w:spacing w:line="360" w:lineRule="exact"/>
        <w:ind w:firstLine="440" w:firstLineChars="200"/>
        <w:rPr>
          <w:rFonts w:cs="宋体"/>
          <w:color w:val="auto"/>
          <w:sz w:val="22"/>
        </w:rPr>
      </w:pPr>
      <w:r>
        <w:rPr>
          <w:rFonts w:hint="eastAsia" w:ascii="宋体" w:hAnsi="宋体"/>
          <w:color w:val="auto"/>
          <w:sz w:val="22"/>
        </w:rPr>
        <w:t>4.在合同协议书正式签署生效之前，本投标函连同你方的中标通知书将构成我们双方之间共同遵守的文件，对双方具有约束力。</w:t>
      </w:r>
    </w:p>
    <w:p>
      <w:pPr>
        <w:snapToGrid w:val="0"/>
        <w:spacing w:line="360" w:lineRule="exact"/>
        <w:ind w:firstLine="440" w:firstLineChars="200"/>
        <w:rPr>
          <w:rFonts w:cs="宋体"/>
          <w:color w:val="auto"/>
          <w:sz w:val="22"/>
        </w:rPr>
      </w:pPr>
      <w:r>
        <w:rPr>
          <w:rFonts w:hint="eastAsia" w:ascii="宋体" w:hAnsi="宋体"/>
          <w:color w:val="auto"/>
          <w:sz w:val="22"/>
        </w:rPr>
        <w:t>5.(其他补充说明)</w:t>
      </w:r>
      <w:r>
        <w:rPr>
          <w:rFonts w:ascii="宋体" w:hAnsi="宋体"/>
          <w:color w:val="auto"/>
          <w:sz w:val="22"/>
          <w:u w:val="single"/>
        </w:rPr>
        <w:t xml:space="preserve">                                              </w:t>
      </w:r>
      <w:r>
        <w:rPr>
          <w:rFonts w:hint="eastAsia" w:ascii="宋体" w:hAnsi="宋体"/>
          <w:color w:val="auto"/>
          <w:sz w:val="22"/>
        </w:rPr>
        <w:t>。</w:t>
      </w:r>
    </w:p>
    <w:p>
      <w:pPr>
        <w:snapToGrid w:val="0"/>
        <w:spacing w:line="360" w:lineRule="exact"/>
        <w:ind w:firstLine="3969" w:firstLineChars="1804"/>
        <w:jc w:val="left"/>
        <w:rPr>
          <w:rFonts w:cs="宋体"/>
          <w:color w:val="auto"/>
          <w:sz w:val="22"/>
        </w:rPr>
      </w:pPr>
    </w:p>
    <w:p>
      <w:pPr>
        <w:snapToGrid w:val="0"/>
        <w:spacing w:line="360" w:lineRule="exact"/>
        <w:ind w:firstLine="3969" w:firstLineChars="1804"/>
        <w:jc w:val="left"/>
        <w:rPr>
          <w:rFonts w:cs="宋体"/>
          <w:color w:val="auto"/>
          <w:sz w:val="22"/>
        </w:rPr>
      </w:pPr>
    </w:p>
    <w:p>
      <w:pPr>
        <w:snapToGrid w:val="0"/>
        <w:spacing w:line="360" w:lineRule="exact"/>
        <w:ind w:firstLine="3969" w:firstLineChars="1804"/>
        <w:jc w:val="left"/>
        <w:rPr>
          <w:rFonts w:cs="宋体"/>
          <w:color w:val="auto"/>
          <w:sz w:val="22"/>
        </w:rPr>
      </w:pPr>
      <w:r>
        <w:rPr>
          <w:rFonts w:cs="宋体"/>
          <w:color w:val="auto"/>
          <w:sz w:val="22"/>
        </w:rPr>
        <w:t>投标人：</w:t>
      </w:r>
      <w:r>
        <w:rPr>
          <w:rFonts w:cs="宋体"/>
          <w:color w:val="auto"/>
          <w:sz w:val="22"/>
          <w:u w:val="single"/>
        </w:rPr>
        <w:t xml:space="preserve">                </w:t>
      </w:r>
      <w:r>
        <w:rPr>
          <w:rFonts w:cs="宋体"/>
          <w:color w:val="auto"/>
          <w:sz w:val="22"/>
        </w:rPr>
        <w:t>(盖章)</w:t>
      </w:r>
    </w:p>
    <w:p>
      <w:pPr>
        <w:snapToGrid w:val="0"/>
        <w:spacing w:line="360" w:lineRule="exact"/>
        <w:ind w:firstLine="3969" w:firstLineChars="1804"/>
        <w:jc w:val="left"/>
        <w:rPr>
          <w:rFonts w:cs="宋体"/>
          <w:color w:val="auto"/>
          <w:sz w:val="22"/>
          <w:u w:val="single"/>
        </w:rPr>
      </w:pPr>
      <w:r>
        <w:rPr>
          <w:rFonts w:cs="宋体"/>
          <w:color w:val="auto"/>
          <w:sz w:val="22"/>
        </w:rPr>
        <w:t>法定代表或委托代理人：</w:t>
      </w:r>
      <w:r>
        <w:rPr>
          <w:rFonts w:cs="宋体"/>
          <w:color w:val="auto"/>
          <w:sz w:val="22"/>
          <w:u w:val="single"/>
        </w:rPr>
        <w:t xml:space="preserve">         </w:t>
      </w:r>
      <w:r>
        <w:rPr>
          <w:rFonts w:cs="宋体"/>
          <w:color w:val="auto"/>
          <w:sz w:val="22"/>
        </w:rPr>
        <w:t>(签字或盖章)</w:t>
      </w:r>
    </w:p>
    <w:p>
      <w:pPr>
        <w:snapToGrid w:val="0"/>
        <w:spacing w:line="360" w:lineRule="exact"/>
        <w:ind w:firstLine="3969" w:firstLineChars="1804"/>
        <w:jc w:val="left"/>
        <w:rPr>
          <w:rFonts w:cs="宋体"/>
          <w:color w:val="auto"/>
          <w:sz w:val="22"/>
          <w:u w:val="single"/>
        </w:rPr>
      </w:pPr>
      <w:r>
        <w:rPr>
          <w:rFonts w:cs="宋体"/>
          <w:color w:val="auto"/>
          <w:sz w:val="22"/>
        </w:rPr>
        <w:t>联系人：</w:t>
      </w:r>
      <w:r>
        <w:rPr>
          <w:rFonts w:cs="宋体"/>
          <w:color w:val="auto"/>
          <w:sz w:val="22"/>
          <w:u w:val="single"/>
        </w:rPr>
        <w:t xml:space="preserve">                    </w:t>
      </w:r>
    </w:p>
    <w:p>
      <w:pPr>
        <w:snapToGrid w:val="0"/>
        <w:spacing w:line="360" w:lineRule="exact"/>
        <w:ind w:firstLine="3969" w:firstLineChars="1804"/>
        <w:jc w:val="left"/>
        <w:rPr>
          <w:rFonts w:cs="宋体"/>
          <w:color w:val="auto"/>
          <w:sz w:val="22"/>
          <w:u w:val="single"/>
        </w:rPr>
      </w:pPr>
      <w:r>
        <w:rPr>
          <w:rFonts w:cs="宋体"/>
          <w:color w:val="auto"/>
          <w:sz w:val="22"/>
        </w:rPr>
        <w:t>联系地址：</w:t>
      </w:r>
      <w:r>
        <w:rPr>
          <w:rFonts w:cs="宋体"/>
          <w:color w:val="auto"/>
          <w:sz w:val="22"/>
          <w:u w:val="single"/>
        </w:rPr>
        <w:t xml:space="preserve">                    </w:t>
      </w:r>
    </w:p>
    <w:p>
      <w:pPr>
        <w:snapToGrid w:val="0"/>
        <w:spacing w:line="360" w:lineRule="exact"/>
        <w:ind w:firstLine="3969" w:firstLineChars="1804"/>
        <w:jc w:val="left"/>
        <w:rPr>
          <w:rFonts w:cs="宋体"/>
          <w:color w:val="auto"/>
          <w:sz w:val="22"/>
          <w:u w:val="single"/>
        </w:rPr>
      </w:pPr>
      <w:r>
        <w:rPr>
          <w:rFonts w:cs="宋体"/>
          <w:color w:val="auto"/>
          <w:sz w:val="22"/>
        </w:rPr>
        <w:t>电话：</w:t>
      </w:r>
      <w:r>
        <w:rPr>
          <w:rFonts w:cs="宋体"/>
          <w:color w:val="auto"/>
          <w:sz w:val="22"/>
          <w:u w:val="single"/>
        </w:rPr>
        <w:t xml:space="preserve">                    </w:t>
      </w:r>
    </w:p>
    <w:p>
      <w:pPr>
        <w:snapToGrid w:val="0"/>
        <w:spacing w:line="360" w:lineRule="exact"/>
        <w:ind w:firstLine="3969" w:firstLineChars="1804"/>
        <w:jc w:val="left"/>
        <w:rPr>
          <w:rFonts w:cs="宋体"/>
          <w:color w:val="auto"/>
          <w:sz w:val="22"/>
          <w:u w:val="single"/>
        </w:rPr>
      </w:pPr>
      <w:r>
        <w:rPr>
          <w:rFonts w:cs="宋体"/>
          <w:color w:val="auto"/>
          <w:sz w:val="22"/>
        </w:rPr>
        <w:t>邮编：</w:t>
      </w:r>
      <w:r>
        <w:rPr>
          <w:rFonts w:cs="宋体"/>
          <w:color w:val="auto"/>
          <w:sz w:val="22"/>
          <w:u w:val="single"/>
        </w:rPr>
        <w:t xml:space="preserve">                    </w:t>
      </w:r>
    </w:p>
    <w:p>
      <w:pPr>
        <w:snapToGrid w:val="0"/>
        <w:spacing w:line="360" w:lineRule="exact"/>
        <w:ind w:firstLine="3969" w:firstLineChars="1804"/>
        <w:jc w:val="left"/>
        <w:rPr>
          <w:rFonts w:cs="宋体"/>
          <w:color w:val="auto"/>
          <w:sz w:val="22"/>
        </w:rPr>
      </w:pPr>
      <w:r>
        <w:rPr>
          <w:rFonts w:cs="宋体"/>
          <w:color w:val="auto"/>
          <w:sz w:val="22"/>
          <w:u w:val="single"/>
        </w:rPr>
        <w:t xml:space="preserve">       </w:t>
      </w:r>
      <w:r>
        <w:rPr>
          <w:rFonts w:cs="宋体"/>
          <w:color w:val="auto"/>
          <w:sz w:val="22"/>
        </w:rPr>
        <w:t xml:space="preserve">年 </w:t>
      </w:r>
      <w:r>
        <w:rPr>
          <w:rFonts w:cs="宋体"/>
          <w:color w:val="auto"/>
          <w:sz w:val="22"/>
          <w:u w:val="single"/>
        </w:rPr>
        <w:t xml:space="preserve">       </w:t>
      </w:r>
      <w:r>
        <w:rPr>
          <w:rFonts w:cs="宋体"/>
          <w:color w:val="auto"/>
          <w:sz w:val="22"/>
        </w:rPr>
        <w:t xml:space="preserve"> 月</w:t>
      </w:r>
      <w:r>
        <w:rPr>
          <w:rFonts w:cs="宋体"/>
          <w:color w:val="auto"/>
          <w:sz w:val="22"/>
          <w:u w:val="single"/>
        </w:rPr>
        <w:t xml:space="preserve">      </w:t>
      </w:r>
      <w:r>
        <w:rPr>
          <w:rFonts w:cs="宋体"/>
          <w:color w:val="auto"/>
          <w:sz w:val="22"/>
        </w:rPr>
        <w:t>日</w:t>
      </w:r>
    </w:p>
    <w:p>
      <w:pPr>
        <w:widowControl/>
        <w:spacing w:line="360" w:lineRule="exact"/>
        <w:jc w:val="left"/>
        <w:rPr>
          <w:rFonts w:cs="微软雅黑"/>
          <w:b/>
          <w:color w:val="auto"/>
          <w:kern w:val="0"/>
          <w:sz w:val="36"/>
          <w:szCs w:val="36"/>
        </w:rPr>
      </w:pPr>
      <w:r>
        <w:rPr>
          <w:rFonts w:cs="微软雅黑"/>
          <w:b/>
          <w:color w:val="auto"/>
          <w:kern w:val="0"/>
          <w:sz w:val="36"/>
          <w:szCs w:val="36"/>
        </w:rPr>
        <w:br w:type="page"/>
      </w:r>
    </w:p>
    <w:p>
      <w:pPr>
        <w:autoSpaceDE w:val="0"/>
        <w:autoSpaceDN w:val="0"/>
        <w:adjustRightInd w:val="0"/>
        <w:spacing w:line="560" w:lineRule="exact"/>
        <w:jc w:val="center"/>
        <w:rPr>
          <w:rFonts w:cs="微软雅黑"/>
          <w:b/>
          <w:color w:val="auto"/>
          <w:kern w:val="0"/>
          <w:sz w:val="36"/>
          <w:szCs w:val="36"/>
        </w:rPr>
      </w:pPr>
      <w:r>
        <w:rPr>
          <w:rFonts w:ascii="宋体" w:hAnsi="宋体" w:cs="微软雅黑"/>
          <w:b/>
          <w:color w:val="auto"/>
          <w:kern w:val="0"/>
          <w:sz w:val="36"/>
          <w:szCs w:val="36"/>
        </w:rPr>
        <w:t>二</w:t>
      </w:r>
      <w:r>
        <w:rPr>
          <w:rFonts w:hint="eastAsia" w:ascii="宋体" w:hAnsi="宋体" w:cs="微软雅黑"/>
          <w:b/>
          <w:color w:val="auto"/>
          <w:kern w:val="0"/>
          <w:sz w:val="36"/>
          <w:szCs w:val="36"/>
        </w:rPr>
        <w:t>-1</w:t>
      </w:r>
      <w:r>
        <w:rPr>
          <w:rFonts w:cs="微软雅黑"/>
          <w:b/>
          <w:color w:val="auto"/>
          <w:kern w:val="0"/>
          <w:sz w:val="36"/>
          <w:szCs w:val="36"/>
        </w:rPr>
        <w:t>、法定代表人身份证明</w:t>
      </w:r>
    </w:p>
    <w:p>
      <w:pPr>
        <w:autoSpaceDE w:val="0"/>
        <w:autoSpaceDN w:val="0"/>
        <w:adjustRightInd w:val="0"/>
        <w:spacing w:line="560" w:lineRule="exact"/>
        <w:jc w:val="left"/>
        <w:rPr>
          <w:rFonts w:cs="微软雅黑"/>
          <w:color w:val="auto"/>
          <w:kern w:val="0"/>
          <w:sz w:val="20"/>
          <w:szCs w:val="20"/>
        </w:rPr>
      </w:pPr>
    </w:p>
    <w:p>
      <w:pPr>
        <w:spacing w:line="360" w:lineRule="exact"/>
        <w:rPr>
          <w:rFonts w:cs="Calibri"/>
          <w:color w:val="auto"/>
          <w:szCs w:val="21"/>
          <w:u w:val="single"/>
        </w:rPr>
      </w:pPr>
      <w:r>
        <w:rPr>
          <w:rFonts w:cs="Calibri"/>
          <w:color w:val="auto"/>
          <w:szCs w:val="21"/>
        </w:rPr>
        <w:t>投标人名称：</w:t>
      </w:r>
      <w:r>
        <w:rPr>
          <w:rFonts w:cs="Calibri"/>
          <w:color w:val="auto"/>
          <w:szCs w:val="21"/>
          <w:u w:val="single"/>
        </w:rPr>
        <w:t xml:space="preserve">                                  </w:t>
      </w:r>
    </w:p>
    <w:p>
      <w:pPr>
        <w:spacing w:line="360" w:lineRule="exact"/>
        <w:rPr>
          <w:rFonts w:cs="Calibri"/>
          <w:color w:val="auto"/>
          <w:szCs w:val="21"/>
          <w:u w:val="single"/>
        </w:rPr>
      </w:pPr>
      <w:r>
        <w:rPr>
          <w:rFonts w:cs="Calibri"/>
          <w:color w:val="auto"/>
          <w:szCs w:val="21"/>
        </w:rPr>
        <w:t>单位性质：</w:t>
      </w:r>
      <w:r>
        <w:rPr>
          <w:rFonts w:cs="Calibri"/>
          <w:color w:val="auto"/>
          <w:szCs w:val="21"/>
          <w:u w:val="single"/>
        </w:rPr>
        <w:t xml:space="preserve">                                    </w:t>
      </w:r>
    </w:p>
    <w:p>
      <w:pPr>
        <w:spacing w:line="360" w:lineRule="exact"/>
        <w:rPr>
          <w:rFonts w:cs="Calibri"/>
          <w:color w:val="auto"/>
          <w:szCs w:val="21"/>
          <w:u w:val="single"/>
        </w:rPr>
      </w:pPr>
      <w:r>
        <w:rPr>
          <w:rFonts w:cs="Calibri"/>
          <w:color w:val="auto"/>
          <w:szCs w:val="21"/>
        </w:rPr>
        <w:t>地址：</w:t>
      </w:r>
      <w:r>
        <w:rPr>
          <w:rFonts w:cs="Calibri"/>
          <w:color w:val="auto"/>
          <w:szCs w:val="21"/>
          <w:u w:val="single"/>
        </w:rPr>
        <w:t xml:space="preserve">                                        </w:t>
      </w:r>
    </w:p>
    <w:p>
      <w:pPr>
        <w:spacing w:line="360" w:lineRule="exact"/>
        <w:rPr>
          <w:rFonts w:cs="Calibri"/>
          <w:color w:val="auto"/>
          <w:szCs w:val="21"/>
          <w:u w:val="single"/>
        </w:rPr>
      </w:pPr>
      <w:r>
        <w:rPr>
          <w:rFonts w:cs="Calibri"/>
          <w:color w:val="auto"/>
          <w:szCs w:val="21"/>
        </w:rPr>
        <w:t>成立时间：</w:t>
      </w:r>
      <w:r>
        <w:rPr>
          <w:rFonts w:cs="Calibri"/>
          <w:color w:val="auto"/>
          <w:szCs w:val="21"/>
          <w:u w:val="single"/>
        </w:rPr>
        <w:t xml:space="preserve">          </w:t>
      </w:r>
      <w:r>
        <w:rPr>
          <w:rFonts w:cs="Calibri"/>
          <w:color w:val="auto"/>
          <w:szCs w:val="21"/>
        </w:rPr>
        <w:t>年</w:t>
      </w:r>
      <w:r>
        <w:rPr>
          <w:rFonts w:cs="Calibri"/>
          <w:color w:val="auto"/>
          <w:szCs w:val="21"/>
          <w:u w:val="single"/>
        </w:rPr>
        <w:t xml:space="preserve">           </w:t>
      </w:r>
      <w:r>
        <w:rPr>
          <w:rFonts w:cs="Calibri"/>
          <w:color w:val="auto"/>
          <w:szCs w:val="21"/>
        </w:rPr>
        <w:t>月</w:t>
      </w:r>
      <w:r>
        <w:rPr>
          <w:rFonts w:cs="Calibri"/>
          <w:color w:val="auto"/>
          <w:szCs w:val="21"/>
          <w:u w:val="single"/>
        </w:rPr>
        <w:t xml:space="preserve">           </w:t>
      </w:r>
      <w:r>
        <w:rPr>
          <w:rFonts w:cs="Calibri"/>
          <w:color w:val="auto"/>
          <w:szCs w:val="21"/>
        </w:rPr>
        <w:t>日</w:t>
      </w:r>
    </w:p>
    <w:p>
      <w:pPr>
        <w:spacing w:line="360" w:lineRule="exact"/>
        <w:rPr>
          <w:rFonts w:cs="Calibri"/>
          <w:color w:val="auto"/>
          <w:szCs w:val="21"/>
          <w:u w:val="single"/>
        </w:rPr>
      </w:pPr>
      <w:r>
        <w:rPr>
          <w:rFonts w:cs="Calibri"/>
          <w:color w:val="auto"/>
          <w:szCs w:val="21"/>
        </w:rPr>
        <w:t>经营期限：</w:t>
      </w:r>
      <w:r>
        <w:rPr>
          <w:rFonts w:cs="Calibri"/>
          <w:color w:val="auto"/>
          <w:szCs w:val="21"/>
          <w:u w:val="single"/>
        </w:rPr>
        <w:t xml:space="preserve">                                     </w:t>
      </w:r>
    </w:p>
    <w:p>
      <w:pPr>
        <w:spacing w:line="360" w:lineRule="exact"/>
        <w:rPr>
          <w:rFonts w:cs="Calibri"/>
          <w:color w:val="auto"/>
          <w:szCs w:val="21"/>
          <w:u w:val="single"/>
        </w:rPr>
      </w:pPr>
      <w:r>
        <w:rPr>
          <w:rFonts w:cs="Calibri"/>
          <w:color w:val="auto"/>
          <w:szCs w:val="21"/>
        </w:rPr>
        <w:t>姓名：</w:t>
      </w:r>
      <w:r>
        <w:rPr>
          <w:rFonts w:cs="Calibri"/>
          <w:color w:val="auto"/>
          <w:szCs w:val="21"/>
          <w:u w:val="single"/>
        </w:rPr>
        <w:t xml:space="preserve">         </w:t>
      </w:r>
      <w:r>
        <w:rPr>
          <w:rFonts w:cs="Calibri"/>
          <w:color w:val="auto"/>
          <w:szCs w:val="21"/>
        </w:rPr>
        <w:t xml:space="preserve">  性别：</w:t>
      </w:r>
      <w:r>
        <w:rPr>
          <w:rFonts w:cs="Calibri"/>
          <w:color w:val="auto"/>
          <w:szCs w:val="21"/>
          <w:u w:val="single"/>
        </w:rPr>
        <w:t xml:space="preserve">         </w:t>
      </w:r>
      <w:r>
        <w:rPr>
          <w:rFonts w:cs="Calibri"/>
          <w:color w:val="auto"/>
          <w:szCs w:val="21"/>
        </w:rPr>
        <w:t xml:space="preserve">  年龄：</w:t>
      </w:r>
      <w:r>
        <w:rPr>
          <w:rFonts w:cs="Calibri"/>
          <w:color w:val="auto"/>
          <w:szCs w:val="21"/>
          <w:u w:val="single"/>
        </w:rPr>
        <w:t xml:space="preserve">         </w:t>
      </w:r>
      <w:r>
        <w:rPr>
          <w:rFonts w:cs="Calibri"/>
          <w:color w:val="auto"/>
          <w:szCs w:val="21"/>
        </w:rPr>
        <w:t xml:space="preserve">  职务：</w:t>
      </w:r>
      <w:r>
        <w:rPr>
          <w:rFonts w:cs="Calibri"/>
          <w:color w:val="auto"/>
          <w:szCs w:val="21"/>
          <w:u w:val="single"/>
        </w:rPr>
        <w:t xml:space="preserve">         </w:t>
      </w:r>
      <w:r>
        <w:rPr>
          <w:rFonts w:cs="Calibri"/>
          <w:color w:val="auto"/>
          <w:szCs w:val="21"/>
        </w:rPr>
        <w:t xml:space="preserve">  </w:t>
      </w:r>
    </w:p>
    <w:p>
      <w:pPr>
        <w:spacing w:line="360" w:lineRule="exact"/>
        <w:rPr>
          <w:rFonts w:cs="Calibri"/>
          <w:color w:val="auto"/>
          <w:szCs w:val="21"/>
          <w:u w:val="single"/>
        </w:rPr>
      </w:pPr>
      <w:r>
        <w:rPr>
          <w:rFonts w:cs="Calibri"/>
          <w:color w:val="auto"/>
          <w:szCs w:val="21"/>
        </w:rPr>
        <w:t>身份证号码：</w:t>
      </w:r>
      <w:r>
        <w:rPr>
          <w:rFonts w:cs="Calibri"/>
          <w:color w:val="auto"/>
          <w:szCs w:val="21"/>
          <w:u w:val="single"/>
        </w:rPr>
        <w:t xml:space="preserve">                           </w:t>
      </w:r>
    </w:p>
    <w:p>
      <w:pPr>
        <w:spacing w:line="360" w:lineRule="exact"/>
        <w:ind w:firstLine="560"/>
        <w:rPr>
          <w:rFonts w:cs="Calibri"/>
          <w:color w:val="auto"/>
          <w:szCs w:val="21"/>
        </w:rPr>
      </w:pPr>
    </w:p>
    <w:p>
      <w:pPr>
        <w:spacing w:line="360" w:lineRule="exact"/>
        <w:rPr>
          <w:rFonts w:cs="Calibri"/>
          <w:color w:val="auto"/>
          <w:szCs w:val="21"/>
        </w:rPr>
      </w:pPr>
      <w:r>
        <w:rPr>
          <w:rFonts w:cs="Calibri"/>
          <w:color w:val="auto"/>
          <w:szCs w:val="21"/>
        </w:rPr>
        <w:t xml:space="preserve">    系</w:t>
      </w:r>
      <w:r>
        <w:rPr>
          <w:rFonts w:cs="Calibri"/>
          <w:color w:val="auto"/>
          <w:szCs w:val="21"/>
          <w:u w:val="single"/>
        </w:rPr>
        <w:t xml:space="preserve">                          </w:t>
      </w:r>
      <w:r>
        <w:rPr>
          <w:rFonts w:cs="Calibri"/>
          <w:color w:val="auto"/>
          <w:szCs w:val="21"/>
        </w:rPr>
        <w:t>(投标人名称)的法定代表人。</w:t>
      </w:r>
    </w:p>
    <w:p>
      <w:pPr>
        <w:spacing w:line="360" w:lineRule="exact"/>
        <w:ind w:firstLine="560"/>
        <w:rPr>
          <w:rFonts w:cs="Calibri"/>
          <w:color w:val="auto"/>
          <w:szCs w:val="21"/>
        </w:rPr>
      </w:pPr>
    </w:p>
    <w:p>
      <w:pPr>
        <w:spacing w:line="360" w:lineRule="exact"/>
        <w:rPr>
          <w:rFonts w:cs="Calibri"/>
          <w:color w:val="auto"/>
          <w:szCs w:val="21"/>
        </w:rPr>
      </w:pPr>
      <w:r>
        <w:rPr>
          <w:rFonts w:cs="Calibri"/>
          <w:color w:val="auto"/>
          <w:szCs w:val="21"/>
        </w:rPr>
        <w:t>特此证明。</w:t>
      </w:r>
    </w:p>
    <w:p>
      <w:pPr>
        <w:spacing w:line="360" w:lineRule="exact"/>
        <w:rPr>
          <w:rFonts w:cs="Calibri"/>
          <w:color w:val="auto"/>
          <w:szCs w:val="21"/>
        </w:rPr>
      </w:pPr>
      <w:r>
        <w:rPr>
          <w:rFonts w:cs="Calibri"/>
          <w:color w:val="auto"/>
          <w:szCs w:val="21"/>
        </w:rPr>
        <w:t xml:space="preserve">投标人：(盖单位章) </w:t>
      </w:r>
    </w:p>
    <w:p>
      <w:pPr>
        <w:spacing w:line="360" w:lineRule="exact"/>
        <w:ind w:firstLine="6240" w:firstLineChars="2960"/>
        <w:rPr>
          <w:rFonts w:cs="Calibri"/>
          <w:b/>
          <w:color w:val="auto"/>
          <w:szCs w:val="21"/>
        </w:rPr>
      </w:pPr>
      <w:r>
        <w:rPr>
          <w:rFonts w:cs="Calibri"/>
          <w:b/>
          <w:color w:val="auto"/>
          <w:szCs w:val="21"/>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396240</wp:posOffset>
                </wp:positionV>
                <wp:extent cx="5372100" cy="2179320"/>
                <wp:effectExtent l="5080" t="4445" r="13970" b="6985"/>
                <wp:wrapSquare wrapText="bothSides"/>
                <wp:docPr id="5" name="文本框 3"/>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Cs w:val="21"/>
                              </w:rPr>
                            </w:pPr>
                            <w:r>
                              <w:rPr>
                                <w:rFonts w:ascii="宋体" w:hAnsi="宋体"/>
                                <w:szCs w:val="21"/>
                              </w:rPr>
                              <w:t>法定代表人</w:t>
                            </w:r>
                            <w:r>
                              <w:rPr>
                                <w:rFonts w:hint="eastAsia" w:ascii="宋体" w:hAnsi="宋体"/>
                                <w:szCs w:val="21"/>
                              </w:rPr>
                              <w:t>身份证复印件粘贴处(正、反面)</w:t>
                            </w:r>
                          </w:p>
                        </w:txbxContent>
                      </wps:txbx>
                      <wps:bodyPr rot="0" vert="horz" wrap="square" lIns="91440" tIns="45720" rIns="91440" bIns="45720" anchor="t" anchorCtr="0" upright="1">
                        <a:noAutofit/>
                      </wps:bodyPr>
                    </wps:wsp>
                  </a:graphicData>
                </a:graphic>
              </wp:anchor>
            </w:drawing>
          </mc:Choice>
          <mc:Fallback>
            <w:pict>
              <v:shape id="文本框 3" o:spid="_x0000_s1026" o:spt="202" type="#_x0000_t202" style="position:absolute;left:0pt;margin-left:0pt;margin-top:31.2pt;height:171.6pt;width:423pt;mso-wrap-distance-bottom:0pt;mso-wrap-distance-left:9pt;mso-wrap-distance-right:9pt;mso-wrap-distance-top:0pt;z-index:251657216;mso-width-relative:page;mso-height-relative:page;" fillcolor="#FFFFFF" filled="t" stroked="t" coordsize="21600,21600" o:gfxdata="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qfK7TXAAAABwEAAA8AAAAAAAAAAQAgAAAAIgAAAGRycy9kb3ducmV2LnhtbFBLAQIU&#10;ABQAAAAIAIdO4kB4wumPLQIAAEgEAAAOAAAAAAAAAAEAIAAAACYBAABkcnMvZTJvRG9jLnhtbFBL&#10;BQYAAAAABgAGAFkBAADFBQ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Cs w:val="21"/>
                        </w:rPr>
                      </w:pPr>
                      <w:r>
                        <w:rPr>
                          <w:rFonts w:ascii="宋体" w:hAnsi="宋体"/>
                          <w:szCs w:val="21"/>
                        </w:rPr>
                        <w:t>法定代表人</w:t>
                      </w:r>
                      <w:r>
                        <w:rPr>
                          <w:rFonts w:hint="eastAsia" w:ascii="宋体" w:hAnsi="宋体"/>
                          <w:szCs w:val="21"/>
                        </w:rPr>
                        <w:t>身份证复印件粘贴处(正、反面)</w:t>
                      </w:r>
                    </w:p>
                  </w:txbxContent>
                </v:textbox>
                <w10:wrap type="square"/>
              </v:shape>
            </w:pict>
          </mc:Fallback>
        </mc:AlternateContent>
      </w:r>
      <w:r>
        <w:rPr>
          <w:rFonts w:cs="Calibri"/>
          <w:color w:val="auto"/>
          <w:szCs w:val="21"/>
        </w:rPr>
        <w:t>日期：   年    月    日</w:t>
      </w:r>
    </w:p>
    <w:p>
      <w:pPr>
        <w:autoSpaceDE w:val="0"/>
        <w:autoSpaceDN w:val="0"/>
        <w:adjustRightInd w:val="0"/>
        <w:spacing w:line="560" w:lineRule="exact"/>
        <w:jc w:val="center"/>
        <w:rPr>
          <w:rFonts w:cs="微软雅黑"/>
          <w:b/>
          <w:color w:val="auto"/>
          <w:kern w:val="0"/>
          <w:sz w:val="36"/>
          <w:szCs w:val="36"/>
        </w:rPr>
      </w:pPr>
      <w:r>
        <w:rPr>
          <w:rFonts w:cs="Calibri"/>
          <w:color w:val="auto"/>
          <w:szCs w:val="21"/>
        </w:rPr>
        <w:br w:type="page"/>
      </w:r>
      <w:r>
        <w:rPr>
          <w:rFonts w:hint="eastAsia" w:ascii="宋体" w:hAnsi="宋体" w:cs="微软雅黑"/>
          <w:b/>
          <w:color w:val="auto"/>
          <w:kern w:val="0"/>
          <w:sz w:val="36"/>
          <w:szCs w:val="36"/>
        </w:rPr>
        <w:t>二-2</w:t>
      </w:r>
      <w:r>
        <w:rPr>
          <w:rFonts w:cs="微软雅黑"/>
          <w:b/>
          <w:color w:val="auto"/>
          <w:kern w:val="0"/>
          <w:sz w:val="36"/>
          <w:szCs w:val="36"/>
        </w:rPr>
        <w:t>、法定代表人授权委托书</w:t>
      </w:r>
    </w:p>
    <w:p>
      <w:pPr>
        <w:autoSpaceDE w:val="0"/>
        <w:autoSpaceDN w:val="0"/>
        <w:adjustRightInd w:val="0"/>
        <w:spacing w:line="560" w:lineRule="exact"/>
        <w:ind w:firstLine="480" w:firstLineChars="200"/>
        <w:jc w:val="left"/>
        <w:rPr>
          <w:rFonts w:cs="微软雅黑"/>
          <w:color w:val="auto"/>
          <w:kern w:val="0"/>
          <w:sz w:val="24"/>
          <w:szCs w:val="24"/>
        </w:rPr>
      </w:pPr>
    </w:p>
    <w:p>
      <w:pPr>
        <w:spacing w:line="360" w:lineRule="exact"/>
        <w:ind w:firstLine="420" w:firstLineChars="200"/>
        <w:rPr>
          <w:rFonts w:cs="Calibri"/>
          <w:color w:val="auto"/>
          <w:szCs w:val="21"/>
        </w:rPr>
      </w:pPr>
      <w:r>
        <w:rPr>
          <w:rFonts w:cs="Calibri"/>
          <w:color w:val="auto"/>
          <w:szCs w:val="21"/>
        </w:rPr>
        <w:t>本人</w:t>
      </w:r>
      <w:r>
        <w:rPr>
          <w:rFonts w:cs="Calibri"/>
          <w:color w:val="auto"/>
          <w:szCs w:val="21"/>
          <w:u w:val="single"/>
        </w:rPr>
        <w:t xml:space="preserve">        </w:t>
      </w:r>
      <w:r>
        <w:rPr>
          <w:rFonts w:cs="Calibri"/>
          <w:color w:val="auto"/>
          <w:szCs w:val="21"/>
        </w:rPr>
        <w:t>(姓名)系</w:t>
      </w:r>
      <w:r>
        <w:rPr>
          <w:rFonts w:cs="Calibri"/>
          <w:color w:val="auto"/>
          <w:szCs w:val="21"/>
          <w:u w:val="single"/>
        </w:rPr>
        <w:t xml:space="preserve">                </w:t>
      </w:r>
      <w:r>
        <w:rPr>
          <w:rFonts w:cs="Calibri"/>
          <w:color w:val="auto"/>
          <w:szCs w:val="21"/>
        </w:rPr>
        <w:t>(投标人名称)的法定代表人，现委托</w:t>
      </w:r>
      <w:r>
        <w:rPr>
          <w:rFonts w:cs="Calibri"/>
          <w:color w:val="auto"/>
          <w:szCs w:val="21"/>
          <w:u w:val="single"/>
        </w:rPr>
        <w:t xml:space="preserve">      </w:t>
      </w:r>
      <w:r>
        <w:rPr>
          <w:rFonts w:cs="Calibri"/>
          <w:color w:val="auto"/>
          <w:szCs w:val="21"/>
        </w:rPr>
        <w:t>(姓名)为我方代理人。代理人根据授权，以我方名义签署、澄清、说明、补正、递交、撤回、修改</w:t>
      </w:r>
      <w:r>
        <w:rPr>
          <w:rFonts w:cs="Calibri"/>
          <w:color w:val="auto"/>
          <w:szCs w:val="21"/>
          <w:u w:val="single"/>
        </w:rPr>
        <w:t xml:space="preserve">              </w:t>
      </w:r>
      <w:r>
        <w:rPr>
          <w:rFonts w:cs="Calibri"/>
          <w:color w:val="auto"/>
          <w:szCs w:val="21"/>
        </w:rPr>
        <w:t>(项目名称)投标文件、签订合同和处理有关事宜，其法律后果由我方承担。</w:t>
      </w:r>
    </w:p>
    <w:p>
      <w:pPr>
        <w:spacing w:line="360" w:lineRule="exact"/>
        <w:ind w:firstLine="420" w:firstLineChars="200"/>
        <w:rPr>
          <w:rFonts w:cs="Calibri"/>
          <w:color w:val="auto"/>
          <w:szCs w:val="21"/>
        </w:rPr>
      </w:pPr>
      <w:r>
        <w:rPr>
          <w:rFonts w:cs="Calibri"/>
          <w:color w:val="auto"/>
          <w:szCs w:val="21"/>
        </w:rPr>
        <w:t>代理人无转委托权。</w:t>
      </w:r>
    </w:p>
    <w:p>
      <w:pPr>
        <w:spacing w:line="360" w:lineRule="exact"/>
        <w:ind w:firstLine="420" w:firstLineChars="200"/>
        <w:rPr>
          <w:rFonts w:cs="Calibri"/>
          <w:color w:val="auto"/>
          <w:szCs w:val="21"/>
        </w:rPr>
      </w:pPr>
      <w:r>
        <w:rPr>
          <w:rFonts w:cs="Calibri"/>
          <w:color w:val="auto"/>
          <w:szCs w:val="21"/>
        </w:rPr>
        <w:t>附：委托代理人身份证复制件。</w:t>
      </w:r>
    </w:p>
    <w:p>
      <w:pPr>
        <w:spacing w:line="360" w:lineRule="exact"/>
        <w:rPr>
          <w:rFonts w:cs="Calibri"/>
          <w:color w:val="auto"/>
          <w:szCs w:val="21"/>
        </w:rPr>
      </w:pPr>
    </w:p>
    <w:p>
      <w:pPr>
        <w:spacing w:line="360" w:lineRule="exact"/>
        <w:rPr>
          <w:rFonts w:cs="Calibri"/>
          <w:color w:val="auto"/>
          <w:szCs w:val="21"/>
        </w:rPr>
      </w:pPr>
      <w:r>
        <w:rPr>
          <w:rFonts w:cs="Calibri"/>
          <w:color w:val="auto"/>
          <w:szCs w:val="21"/>
        </w:rPr>
        <w:t>投标人：(盖单位章)</w:t>
      </w:r>
    </w:p>
    <w:p>
      <w:pPr>
        <w:spacing w:line="360" w:lineRule="exact"/>
        <w:rPr>
          <w:rFonts w:cs="Calibri"/>
          <w:color w:val="auto"/>
          <w:szCs w:val="21"/>
        </w:rPr>
      </w:pPr>
      <w:r>
        <w:rPr>
          <w:rFonts w:cs="Calibri"/>
          <w:color w:val="auto"/>
          <w:szCs w:val="21"/>
        </w:rPr>
        <w:t>法定代表人：(签字或盖章)</w:t>
      </w:r>
    </w:p>
    <w:p>
      <w:pPr>
        <w:spacing w:line="360" w:lineRule="exact"/>
        <w:rPr>
          <w:rFonts w:cs="Calibri"/>
          <w:color w:val="auto"/>
          <w:szCs w:val="21"/>
        </w:rPr>
      </w:pPr>
      <w:r>
        <w:rPr>
          <w:rFonts w:cs="Calibri"/>
          <w:color w:val="auto"/>
          <w:szCs w:val="21"/>
        </w:rPr>
        <w:t>身份证号码：</w:t>
      </w:r>
    </w:p>
    <w:p>
      <w:pPr>
        <w:spacing w:line="360" w:lineRule="exact"/>
        <w:rPr>
          <w:rFonts w:cs="Calibri"/>
          <w:color w:val="auto"/>
          <w:szCs w:val="21"/>
        </w:rPr>
      </w:pPr>
    </w:p>
    <w:p>
      <w:pPr>
        <w:tabs>
          <w:tab w:val="left" w:pos="6818"/>
        </w:tabs>
        <w:spacing w:line="360" w:lineRule="exact"/>
        <w:rPr>
          <w:rFonts w:cs="Calibri"/>
          <w:color w:val="auto"/>
          <w:szCs w:val="21"/>
        </w:rPr>
      </w:pPr>
      <w:r>
        <w:rPr>
          <w:rFonts w:cs="Calibri"/>
          <w:color w:val="auto"/>
          <w:szCs w:val="21"/>
        </w:rPr>
        <w:t>委托的代理人：(签字或盖章)</w:t>
      </w:r>
      <w:r>
        <w:rPr>
          <w:rFonts w:cs="Calibri"/>
          <w:color w:val="auto"/>
          <w:szCs w:val="21"/>
        </w:rPr>
        <w:tab/>
      </w:r>
    </w:p>
    <w:p>
      <w:pPr>
        <w:spacing w:line="360" w:lineRule="exact"/>
        <w:rPr>
          <w:rFonts w:cs="Calibri"/>
          <w:color w:val="auto"/>
          <w:szCs w:val="21"/>
        </w:rPr>
      </w:pPr>
      <w:r>
        <w:rPr>
          <w:rFonts w:cs="Calibri"/>
          <w:color w:val="auto"/>
          <w:szCs w:val="21"/>
        </w:rPr>
        <w:t>身份证号码：</w:t>
      </w:r>
    </w:p>
    <w:p>
      <w:pPr>
        <w:spacing w:line="360" w:lineRule="exact"/>
        <w:rPr>
          <w:rFonts w:cs="Calibri"/>
          <w:color w:val="auto"/>
          <w:szCs w:val="21"/>
        </w:rPr>
      </w:pPr>
      <w:r>
        <w:rPr>
          <w:rFonts w:hint="eastAsia" w:cs="Calibri"/>
          <w:color w:val="auto"/>
          <w:szCs w:val="21"/>
        </w:rPr>
        <w:t>手机号码：</w:t>
      </w:r>
    </w:p>
    <w:p>
      <w:pPr>
        <w:spacing w:line="360" w:lineRule="exact"/>
        <w:rPr>
          <w:rFonts w:cs="Calibri"/>
          <w:color w:val="auto"/>
          <w:szCs w:val="21"/>
        </w:rPr>
      </w:pPr>
      <w:r>
        <w:rPr>
          <w:rFonts w:hint="eastAsia" w:cs="Calibri"/>
          <w:color w:val="auto"/>
          <w:szCs w:val="21"/>
        </w:rPr>
        <w:t>电子邮箱：</w:t>
      </w:r>
    </w:p>
    <w:p>
      <w:pPr>
        <w:spacing w:line="360" w:lineRule="exact"/>
        <w:ind w:firstLine="4515" w:firstLineChars="2150"/>
        <w:rPr>
          <w:rFonts w:cs="Calibri"/>
          <w:color w:val="auto"/>
          <w:szCs w:val="21"/>
        </w:rPr>
      </w:pPr>
      <w:r>
        <w:rPr>
          <w:rFonts w:cs="Calibri"/>
          <w:color w:val="auto"/>
          <w:szCs w:val="21"/>
        </w:rPr>
        <w:t>日期：</w:t>
      </w:r>
      <w:r>
        <w:rPr>
          <w:rFonts w:cs="Calibri"/>
          <w:color w:val="auto"/>
          <w:szCs w:val="21"/>
          <w:u w:val="single"/>
        </w:rPr>
        <w:t xml:space="preserve">      </w:t>
      </w:r>
      <w:r>
        <w:rPr>
          <w:rFonts w:cs="Calibri"/>
          <w:color w:val="auto"/>
          <w:szCs w:val="21"/>
        </w:rPr>
        <w:t>年</w:t>
      </w:r>
      <w:r>
        <w:rPr>
          <w:rFonts w:cs="Calibri"/>
          <w:color w:val="auto"/>
          <w:szCs w:val="21"/>
          <w:u w:val="single"/>
        </w:rPr>
        <w:t xml:space="preserve">      </w:t>
      </w:r>
      <w:r>
        <w:rPr>
          <w:rFonts w:cs="Calibri"/>
          <w:color w:val="auto"/>
          <w:szCs w:val="21"/>
        </w:rPr>
        <w:t>月</w:t>
      </w:r>
      <w:r>
        <w:rPr>
          <w:rFonts w:cs="Calibri"/>
          <w:color w:val="auto"/>
          <w:szCs w:val="21"/>
          <w:u w:val="single"/>
        </w:rPr>
        <w:t xml:space="preserve">      </w:t>
      </w:r>
      <w:r>
        <w:rPr>
          <w:rFonts w:cs="Calibri"/>
          <w:color w:val="auto"/>
          <w:szCs w:val="21"/>
        </w:rPr>
        <w:t>日</w:t>
      </w:r>
    </w:p>
    <w:p>
      <w:pPr>
        <w:snapToGrid w:val="0"/>
        <w:spacing w:line="360" w:lineRule="exact"/>
        <w:rPr>
          <w:rFonts w:cs="Calibri"/>
          <w:color w:val="auto"/>
          <w:szCs w:val="21"/>
        </w:rPr>
      </w:pPr>
      <w:r>
        <w:rPr>
          <w:rFonts w:cs="Calibri"/>
          <w:b/>
          <w:color w:val="auto"/>
          <w:szCs w:val="21"/>
        </w:rPr>
        <mc:AlternateContent>
          <mc:Choice Requires="wps">
            <w:drawing>
              <wp:anchor distT="0" distB="0" distL="114300" distR="114300" simplePos="0" relativeHeight="251658240" behindDoc="0" locked="0" layoutInCell="1" allowOverlap="1">
                <wp:simplePos x="0" y="0"/>
                <wp:positionH relativeFrom="column">
                  <wp:posOffset>116205</wp:posOffset>
                </wp:positionH>
                <wp:positionV relativeFrom="paragraph">
                  <wp:posOffset>264160</wp:posOffset>
                </wp:positionV>
                <wp:extent cx="5372100" cy="2179320"/>
                <wp:effectExtent l="5080" t="4445" r="13970" b="6985"/>
                <wp:wrapSquare wrapText="bothSides"/>
                <wp:docPr id="6" name="文本框 5"/>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 w:val="28"/>
                                <w:szCs w:val="28"/>
                              </w:rPr>
                            </w:pPr>
                            <w:r>
                              <w:rPr>
                                <w:rFonts w:hint="eastAsia" w:ascii="宋体" w:hAnsi="宋体"/>
                                <w:szCs w:val="21"/>
                              </w:rPr>
                              <w:t>委托代理人身份证复印件粘贴处(正、反面)</w:t>
                            </w:r>
                          </w:p>
                        </w:txbxContent>
                      </wps:txbx>
                      <wps:bodyPr rot="0" vert="horz" wrap="square" lIns="91440" tIns="45720" rIns="91440" bIns="45720" anchor="t" anchorCtr="0" upright="1">
                        <a:noAutofit/>
                      </wps:bodyPr>
                    </wps:wsp>
                  </a:graphicData>
                </a:graphic>
              </wp:anchor>
            </w:drawing>
          </mc:Choice>
          <mc:Fallback>
            <w:pict>
              <v:shape id="文本框 5" o:spid="_x0000_s1026" o:spt="202" type="#_x0000_t202" style="position:absolute;left:0pt;margin-left:9.15pt;margin-top:20.8pt;height:171.6pt;width:423pt;mso-wrap-distance-bottom:0pt;mso-wrap-distance-left:9pt;mso-wrap-distance-right:9pt;mso-wrap-distance-top:0pt;z-index:251658240;mso-width-relative:page;mso-height-relative:page;" fillcolor="#FFFFFF" filled="t" stroked="t" coordsize="21600,21600" o:gfxdata="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pPesHXAAAACQEAAA8AAAAAAAAAAQAgAAAAIgAAAGRycy9kb3ducmV2LnhtbFBLAQIU&#10;ABQAAAAIAIdO4kDo3+NlLQIAAEgEAAAOAAAAAAAAAAEAIAAAACYBAABkcnMvZTJvRG9jLnhtbFBL&#10;BQYAAAAABgAGAFkBAADFBQ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 w:val="28"/>
                          <w:szCs w:val="28"/>
                        </w:rPr>
                      </w:pPr>
                      <w:r>
                        <w:rPr>
                          <w:rFonts w:hint="eastAsia" w:ascii="宋体" w:hAnsi="宋体"/>
                          <w:szCs w:val="21"/>
                        </w:rPr>
                        <w:t>委托代理人身份证复印件粘贴处(正、反面)</w:t>
                      </w:r>
                    </w:p>
                  </w:txbxContent>
                </v:textbox>
                <w10:wrap type="square"/>
              </v:shape>
            </w:pict>
          </mc:Fallback>
        </mc:AlternateContent>
      </w:r>
      <w:r>
        <w:rPr>
          <w:rFonts w:cs="Calibri"/>
          <w:color w:val="auto"/>
          <w:szCs w:val="21"/>
        </w:rPr>
        <w:t xml:space="preserve">                                  </w:t>
      </w:r>
    </w:p>
    <w:p>
      <w:pPr>
        <w:spacing w:line="560" w:lineRule="exact"/>
        <w:rPr>
          <w:rFonts w:cs="Calibri"/>
          <w:b/>
          <w:bCs/>
          <w:color w:val="auto"/>
          <w:szCs w:val="21"/>
        </w:rPr>
      </w:pPr>
      <w:r>
        <w:rPr>
          <w:rFonts w:cs="Calibri"/>
          <w:b/>
          <w:bCs/>
          <w:color w:val="auto"/>
          <w:szCs w:val="21"/>
        </w:rPr>
        <w:t xml:space="preserve">  </w:t>
      </w:r>
    </w:p>
    <w:p>
      <w:pPr>
        <w:spacing w:line="560" w:lineRule="exact"/>
        <w:rPr>
          <w:rFonts w:cs="Calibri"/>
          <w:b/>
          <w:bCs/>
          <w:color w:val="auto"/>
          <w:szCs w:val="21"/>
        </w:rPr>
      </w:pPr>
    </w:p>
    <w:p>
      <w:pPr>
        <w:spacing w:line="560" w:lineRule="exact"/>
        <w:rPr>
          <w:rFonts w:cs="Calibri"/>
          <w:color w:val="auto"/>
          <w:szCs w:val="21"/>
        </w:rPr>
      </w:pPr>
    </w:p>
    <w:p>
      <w:pPr>
        <w:spacing w:line="560" w:lineRule="exact"/>
        <w:rPr>
          <w:rFonts w:cs="Calibri"/>
          <w:color w:val="auto"/>
          <w:szCs w:val="21"/>
        </w:rPr>
      </w:pPr>
    </w:p>
    <w:p>
      <w:pPr>
        <w:spacing w:line="560" w:lineRule="exact"/>
        <w:rPr>
          <w:rFonts w:cs="Calibri"/>
          <w:color w:val="auto"/>
          <w:szCs w:val="21"/>
        </w:rPr>
      </w:pPr>
    </w:p>
    <w:p>
      <w:pPr>
        <w:spacing w:line="560" w:lineRule="exact"/>
        <w:rPr>
          <w:rFonts w:cs="Calibri"/>
          <w:color w:val="auto"/>
          <w:szCs w:val="21"/>
        </w:rPr>
      </w:pPr>
    </w:p>
    <w:p>
      <w:pPr>
        <w:spacing w:line="360" w:lineRule="exact"/>
        <w:rPr>
          <w:rFonts w:cs="Calibri"/>
          <w:color w:val="auto"/>
          <w:szCs w:val="21"/>
        </w:rPr>
      </w:pPr>
    </w:p>
    <w:p>
      <w:pPr>
        <w:spacing w:line="360" w:lineRule="exact"/>
        <w:rPr>
          <w:rFonts w:cs="Calibri"/>
          <w:color w:val="auto"/>
          <w:szCs w:val="21"/>
        </w:rPr>
      </w:pPr>
    </w:p>
    <w:p>
      <w:pPr>
        <w:spacing w:line="360" w:lineRule="exact"/>
        <w:rPr>
          <w:rFonts w:cs="Calibri"/>
          <w:color w:val="auto"/>
          <w:szCs w:val="21"/>
        </w:rPr>
      </w:pPr>
    </w:p>
    <w:p>
      <w:pPr>
        <w:tabs>
          <w:tab w:val="left" w:pos="2420"/>
          <w:tab w:val="left" w:pos="5580"/>
        </w:tabs>
        <w:autoSpaceDE w:val="0"/>
        <w:autoSpaceDN w:val="0"/>
        <w:adjustRightInd w:val="0"/>
        <w:spacing w:line="360" w:lineRule="exact"/>
        <w:ind w:right="-20" w:firstLine="420" w:firstLineChars="200"/>
        <w:jc w:val="left"/>
        <w:rPr>
          <w:rFonts w:cs="微软雅黑"/>
          <w:color w:val="auto"/>
          <w:kern w:val="0"/>
          <w:sz w:val="24"/>
          <w:szCs w:val="24"/>
        </w:rPr>
      </w:pPr>
      <w:r>
        <w:rPr>
          <w:rFonts w:cs="Calibri"/>
          <w:color w:val="auto"/>
          <w:szCs w:val="21"/>
        </w:rPr>
        <w:t>注：如投标文件由委托代理人签字或盖章的，投标文件必须附此授权委托书。</w:t>
      </w:r>
      <w:r>
        <w:rPr>
          <w:rFonts w:cs="Calibri"/>
          <w:b/>
          <w:bCs/>
          <w:color w:val="auto"/>
          <w:szCs w:val="21"/>
        </w:rPr>
        <w:t xml:space="preserve">    </w:t>
      </w:r>
    </w:p>
    <w:p>
      <w:pPr>
        <w:tabs>
          <w:tab w:val="left" w:pos="6640"/>
          <w:tab w:val="left" w:pos="7580"/>
          <w:tab w:val="left" w:pos="8520"/>
        </w:tabs>
        <w:autoSpaceDE w:val="0"/>
        <w:autoSpaceDN w:val="0"/>
        <w:adjustRightInd w:val="0"/>
        <w:spacing w:line="360" w:lineRule="exact"/>
        <w:ind w:left="5907" w:right="-20" w:firstLine="480" w:firstLineChars="200"/>
        <w:jc w:val="left"/>
        <w:rPr>
          <w:rFonts w:cs="微软雅黑"/>
          <w:color w:val="auto"/>
          <w:kern w:val="0"/>
          <w:sz w:val="24"/>
          <w:szCs w:val="21"/>
        </w:rPr>
        <w:sectPr>
          <w:pgSz w:w="11907" w:h="16840"/>
          <w:pgMar w:top="1134" w:right="1134" w:bottom="1134" w:left="1134" w:header="567" w:footer="567" w:gutter="0"/>
          <w:cols w:space="720" w:num="1"/>
        </w:sectPr>
      </w:pPr>
    </w:p>
    <w:p>
      <w:pPr>
        <w:spacing w:line="560" w:lineRule="exact"/>
        <w:jc w:val="center"/>
        <w:rPr>
          <w:rFonts w:cs="微软雅黑"/>
          <w:b/>
          <w:color w:val="auto"/>
          <w:kern w:val="0"/>
          <w:sz w:val="36"/>
          <w:szCs w:val="36"/>
        </w:rPr>
      </w:pPr>
      <w:r>
        <w:rPr>
          <w:rFonts w:hint="eastAsia" w:cs="微软雅黑"/>
          <w:b/>
          <w:color w:val="auto"/>
          <w:kern w:val="0"/>
          <w:sz w:val="36"/>
          <w:szCs w:val="36"/>
        </w:rPr>
        <w:t>三、已标价工程量清单</w:t>
      </w:r>
    </w:p>
    <w:p>
      <w:pPr>
        <w:autoSpaceDE w:val="0"/>
        <w:autoSpaceDN w:val="0"/>
        <w:adjustRightInd w:val="0"/>
        <w:snapToGrid w:val="0"/>
        <w:spacing w:line="560" w:lineRule="exact"/>
        <w:ind w:firstLine="420" w:firstLineChars="200"/>
        <w:rPr>
          <w:rFonts w:ascii="宋体" w:hAnsi="宋体" w:cs="Arial"/>
          <w:color w:val="auto"/>
          <w:kern w:val="0"/>
          <w:szCs w:val="21"/>
        </w:rPr>
      </w:pPr>
    </w:p>
    <w:p>
      <w:pPr>
        <w:keepLines/>
        <w:pageBreakBefore/>
        <w:spacing w:line="560" w:lineRule="exact"/>
        <w:jc w:val="center"/>
        <w:rPr>
          <w:rFonts w:cs="微软雅黑"/>
          <w:b/>
          <w:color w:val="auto"/>
          <w:kern w:val="0"/>
          <w:sz w:val="36"/>
          <w:szCs w:val="36"/>
        </w:rPr>
      </w:pPr>
      <w:bookmarkStart w:id="25" w:name="_Hlk54024727"/>
      <w:r>
        <w:rPr>
          <w:rFonts w:hint="eastAsia" w:cs="微软雅黑"/>
          <w:b/>
          <w:color w:val="auto"/>
          <w:kern w:val="0"/>
          <w:sz w:val="36"/>
          <w:szCs w:val="36"/>
        </w:rPr>
        <w:t>四、投标人认为需要提供的其他材料</w:t>
      </w:r>
    </w:p>
    <w:bookmarkEnd w:id="25"/>
    <w:p>
      <w:pPr>
        <w:pStyle w:val="9"/>
        <w:keepNext/>
        <w:pageBreakBefore/>
        <w:spacing w:before="0" w:after="0" w:line="560" w:lineRule="exact"/>
        <w:rPr>
          <w:color w:val="auto"/>
        </w:rPr>
      </w:pPr>
      <w:bookmarkStart w:id="26" w:name="_Toc11336"/>
      <w:bookmarkStart w:id="27" w:name="_Toc114"/>
      <w:r>
        <w:rPr>
          <w:rFonts w:hint="eastAsia"/>
          <w:color w:val="auto"/>
        </w:rPr>
        <w:t>第七章 航站楼施工围挡管理标准</w:t>
      </w:r>
      <w:bookmarkEnd w:id="26"/>
      <w:bookmarkEnd w:id="27"/>
    </w:p>
    <w:p>
      <w:pPr>
        <w:keepNext w:val="0"/>
        <w:keepLines w:val="0"/>
        <w:pageBreakBefore w:val="0"/>
        <w:widowControl w:val="0"/>
        <w:kinsoku/>
        <w:wordWrap/>
        <w:overflowPunct/>
        <w:topLinePunct w:val="0"/>
        <w:bidi w:val="0"/>
        <w:snapToGrid/>
        <w:spacing w:line="360" w:lineRule="exact"/>
        <w:ind w:left="0" w:leftChars="0" w:right="0" w:rightChars="0" w:firstLine="560" w:firstLineChars="200"/>
        <w:textAlignment w:val="auto"/>
        <w:outlineLvl w:val="9"/>
        <w:rPr>
          <w:rFonts w:ascii="仿宋_GB2312" w:eastAsia="仿宋_GB2312"/>
          <w:color w:val="auto"/>
          <w:sz w:val="28"/>
          <w:szCs w:val="28"/>
        </w:rPr>
      </w:pPr>
      <w:r>
        <w:rPr>
          <w:rFonts w:hint="eastAsia" w:ascii="仿宋_GB2312" w:eastAsia="仿宋_GB2312"/>
          <w:color w:val="auto"/>
          <w:sz w:val="28"/>
          <w:szCs w:val="28"/>
        </w:rPr>
        <w:t>1、目的</w:t>
      </w:r>
    </w:p>
    <w:p>
      <w:pPr>
        <w:pStyle w:val="15"/>
        <w:keepNext w:val="0"/>
        <w:keepLines w:val="0"/>
        <w:pageBreakBefore w:val="0"/>
        <w:widowControl w:val="0"/>
        <w:kinsoku/>
        <w:wordWrap/>
        <w:overflowPunct/>
        <w:topLinePunct w:val="0"/>
        <w:bidi w:val="0"/>
        <w:snapToGrid/>
        <w:spacing w:line="360" w:lineRule="exact"/>
        <w:ind w:left="0" w:leftChars="0" w:right="0" w:rightChars="0" w:firstLine="560"/>
        <w:textAlignment w:val="auto"/>
        <w:outlineLvl w:val="9"/>
        <w:rPr>
          <w:rFonts w:ascii="仿宋_GB2312" w:eastAsia="仿宋_GB2312"/>
          <w:color w:val="auto"/>
          <w:sz w:val="28"/>
          <w:szCs w:val="28"/>
        </w:rPr>
      </w:pPr>
      <w:r>
        <w:rPr>
          <w:rFonts w:hint="eastAsia" w:ascii="仿宋_GB2312" w:eastAsia="仿宋_GB2312"/>
          <w:color w:val="auto"/>
          <w:sz w:val="28"/>
          <w:szCs w:val="28"/>
        </w:rPr>
        <w:t>为了维护航站楼正常的运营秩序，规范楼内在施工改造、设施维护、环境保洁等状态下的围界设置行为，确保航站楼内施工的有序进行、候机环境的舒适美观以及旅客的人身安全，特制定本标准。</w:t>
      </w:r>
    </w:p>
    <w:p>
      <w:pPr>
        <w:keepNext w:val="0"/>
        <w:keepLines w:val="0"/>
        <w:pageBreakBefore w:val="0"/>
        <w:widowControl w:val="0"/>
        <w:kinsoku/>
        <w:wordWrap/>
        <w:overflowPunct/>
        <w:topLinePunct w:val="0"/>
        <w:bidi w:val="0"/>
        <w:snapToGrid/>
        <w:spacing w:line="360" w:lineRule="exact"/>
        <w:ind w:left="0" w:leftChars="0" w:right="0" w:rightChars="0" w:firstLine="560" w:firstLineChars="200"/>
        <w:textAlignment w:val="auto"/>
        <w:outlineLvl w:val="9"/>
        <w:rPr>
          <w:rFonts w:ascii="仿宋_GB2312" w:eastAsia="仿宋_GB2312"/>
          <w:color w:val="auto"/>
          <w:sz w:val="28"/>
          <w:szCs w:val="28"/>
        </w:rPr>
      </w:pPr>
      <w:r>
        <w:rPr>
          <w:rFonts w:hint="eastAsia" w:ascii="仿宋_GB2312" w:eastAsia="仿宋_GB2312"/>
          <w:color w:val="auto"/>
          <w:sz w:val="28"/>
          <w:szCs w:val="28"/>
        </w:rPr>
        <w:t>2、适用范围</w:t>
      </w:r>
    </w:p>
    <w:p>
      <w:pPr>
        <w:pStyle w:val="15"/>
        <w:keepNext w:val="0"/>
        <w:keepLines w:val="0"/>
        <w:pageBreakBefore w:val="0"/>
        <w:widowControl w:val="0"/>
        <w:kinsoku/>
        <w:wordWrap/>
        <w:overflowPunct/>
        <w:topLinePunct w:val="0"/>
        <w:bidi w:val="0"/>
        <w:snapToGrid/>
        <w:spacing w:line="360" w:lineRule="exact"/>
        <w:ind w:left="0" w:leftChars="0" w:right="0" w:rightChars="0" w:firstLine="560"/>
        <w:textAlignment w:val="auto"/>
        <w:outlineLvl w:val="9"/>
        <w:rPr>
          <w:rFonts w:ascii="仿宋_GB2312" w:eastAsia="仿宋_GB2312"/>
          <w:color w:val="auto"/>
          <w:sz w:val="28"/>
          <w:szCs w:val="28"/>
        </w:rPr>
      </w:pPr>
      <w:r>
        <w:rPr>
          <w:rFonts w:hint="eastAsia" w:ascii="仿宋_GB2312" w:eastAsia="仿宋_GB2312"/>
          <w:color w:val="auto"/>
          <w:sz w:val="28"/>
          <w:szCs w:val="28"/>
        </w:rPr>
        <w:t>本标准适用于航站楼内（不含地下车库）在施工改造、设施维护、环境保洁等状态下的各类围界设置，具体包括：航站楼功能布局改造；商业装修；新增设施设备安装；设施设备维修、维护；区域保洁；主题活动、庆典等。</w:t>
      </w:r>
    </w:p>
    <w:p>
      <w:pPr>
        <w:keepNext w:val="0"/>
        <w:keepLines w:val="0"/>
        <w:pageBreakBefore w:val="0"/>
        <w:widowControl w:val="0"/>
        <w:kinsoku/>
        <w:wordWrap/>
        <w:overflowPunct/>
        <w:topLinePunct w:val="0"/>
        <w:bidi w:val="0"/>
        <w:snapToGrid/>
        <w:spacing w:line="360" w:lineRule="exact"/>
        <w:ind w:left="0" w:leftChars="0" w:right="0" w:rightChars="0" w:firstLine="560" w:firstLineChars="200"/>
        <w:textAlignment w:val="auto"/>
        <w:outlineLvl w:val="9"/>
        <w:rPr>
          <w:rFonts w:ascii="仿宋_GB2312" w:eastAsia="仿宋_GB2312"/>
          <w:color w:val="auto"/>
          <w:sz w:val="28"/>
          <w:szCs w:val="28"/>
        </w:rPr>
      </w:pPr>
      <w:r>
        <w:rPr>
          <w:rFonts w:hint="eastAsia" w:ascii="仿宋_GB2312" w:eastAsia="仿宋_GB2312"/>
          <w:color w:val="auto"/>
          <w:sz w:val="28"/>
          <w:szCs w:val="28"/>
        </w:rPr>
        <w:t>3、职责</w:t>
      </w:r>
    </w:p>
    <w:p>
      <w:pPr>
        <w:keepNext w:val="0"/>
        <w:keepLines w:val="0"/>
        <w:pageBreakBefore w:val="0"/>
        <w:widowControl w:val="0"/>
        <w:kinsoku/>
        <w:wordWrap/>
        <w:overflowPunct/>
        <w:topLinePunct w:val="0"/>
        <w:bidi w:val="0"/>
        <w:snapToGrid/>
        <w:spacing w:line="360" w:lineRule="exact"/>
        <w:ind w:left="0" w:leftChars="0" w:right="0" w:rightChars="0" w:firstLine="560" w:firstLineChars="200"/>
        <w:textAlignment w:val="auto"/>
        <w:outlineLvl w:val="9"/>
        <w:rPr>
          <w:rFonts w:ascii="仿宋_GB2312" w:eastAsia="仿宋_GB2312"/>
          <w:color w:val="auto"/>
          <w:sz w:val="28"/>
          <w:szCs w:val="28"/>
        </w:rPr>
      </w:pPr>
      <w:r>
        <w:rPr>
          <w:rFonts w:ascii="仿宋_GB2312" w:eastAsia="仿宋_GB2312"/>
          <w:color w:val="auto"/>
          <w:sz w:val="28"/>
          <w:szCs w:val="28"/>
        </w:rPr>
        <w:t>3.1</w:t>
      </w:r>
      <w:r>
        <w:rPr>
          <w:rFonts w:hint="eastAsia" w:ascii="仿宋_GB2312" w:eastAsia="仿宋_GB2312"/>
          <w:color w:val="auto"/>
          <w:sz w:val="28"/>
          <w:szCs w:val="28"/>
        </w:rPr>
        <w:t>航站区管理中心</w:t>
      </w:r>
    </w:p>
    <w:p>
      <w:pPr>
        <w:keepNext w:val="0"/>
        <w:keepLines w:val="0"/>
        <w:pageBreakBefore w:val="0"/>
        <w:widowControl w:val="0"/>
        <w:kinsoku/>
        <w:wordWrap/>
        <w:overflowPunct/>
        <w:topLinePunct w:val="0"/>
        <w:bidi w:val="0"/>
        <w:snapToGrid/>
        <w:spacing w:line="360" w:lineRule="exact"/>
        <w:ind w:left="0" w:leftChars="0" w:right="0" w:rightChars="0" w:firstLine="560" w:firstLineChars="200"/>
        <w:textAlignment w:val="auto"/>
        <w:outlineLvl w:val="9"/>
        <w:rPr>
          <w:rFonts w:ascii="仿宋_GB2312" w:eastAsia="仿宋_GB2312"/>
          <w:color w:val="auto"/>
          <w:sz w:val="28"/>
          <w:szCs w:val="28"/>
        </w:rPr>
      </w:pPr>
      <w:r>
        <w:rPr>
          <w:rFonts w:hint="eastAsia" w:ascii="仿宋_GB2312" w:eastAsia="仿宋_GB2312"/>
          <w:color w:val="auto"/>
          <w:sz w:val="28"/>
          <w:szCs w:val="28"/>
        </w:rPr>
        <w:t>3.1.1负责制定和完善航站楼围界管理标准。</w:t>
      </w:r>
    </w:p>
    <w:p>
      <w:pPr>
        <w:keepNext w:val="0"/>
        <w:keepLines w:val="0"/>
        <w:pageBreakBefore w:val="0"/>
        <w:widowControl w:val="0"/>
        <w:kinsoku/>
        <w:wordWrap/>
        <w:overflowPunct/>
        <w:topLinePunct w:val="0"/>
        <w:bidi w:val="0"/>
        <w:snapToGrid/>
        <w:spacing w:line="360" w:lineRule="exact"/>
        <w:ind w:left="0" w:leftChars="0" w:right="0" w:rightChars="0" w:firstLine="560" w:firstLineChars="200"/>
        <w:textAlignment w:val="auto"/>
        <w:outlineLvl w:val="9"/>
        <w:rPr>
          <w:rFonts w:ascii="仿宋_GB2312" w:eastAsia="仿宋_GB2312"/>
          <w:color w:val="auto"/>
          <w:sz w:val="28"/>
          <w:szCs w:val="28"/>
        </w:rPr>
      </w:pPr>
      <w:r>
        <w:rPr>
          <w:rFonts w:hint="eastAsia" w:ascii="仿宋_GB2312" w:eastAsia="仿宋_GB2312"/>
          <w:color w:val="auto"/>
          <w:sz w:val="28"/>
          <w:szCs w:val="28"/>
        </w:rPr>
        <w:t>3.1.2负责航站楼围界设置的受理、审批。</w:t>
      </w:r>
    </w:p>
    <w:p>
      <w:pPr>
        <w:keepNext w:val="0"/>
        <w:keepLines w:val="0"/>
        <w:pageBreakBefore w:val="0"/>
        <w:widowControl w:val="0"/>
        <w:kinsoku/>
        <w:wordWrap/>
        <w:overflowPunct/>
        <w:topLinePunct w:val="0"/>
        <w:bidi w:val="0"/>
        <w:snapToGrid/>
        <w:spacing w:line="360" w:lineRule="exact"/>
        <w:ind w:left="0" w:leftChars="0" w:right="0" w:rightChars="0" w:firstLine="560" w:firstLineChars="200"/>
        <w:textAlignment w:val="auto"/>
        <w:outlineLvl w:val="9"/>
        <w:rPr>
          <w:rFonts w:ascii="仿宋_GB2312" w:eastAsia="仿宋_GB2312"/>
          <w:color w:val="auto"/>
          <w:sz w:val="28"/>
          <w:szCs w:val="28"/>
        </w:rPr>
      </w:pPr>
      <w:r>
        <w:rPr>
          <w:rFonts w:hint="eastAsia" w:ascii="仿宋_GB2312" w:eastAsia="仿宋_GB2312"/>
          <w:color w:val="auto"/>
          <w:sz w:val="28"/>
          <w:szCs w:val="28"/>
        </w:rPr>
        <w:t>3.1.3负责航站楼围界设置现场的监管。</w:t>
      </w:r>
    </w:p>
    <w:p>
      <w:pPr>
        <w:keepNext w:val="0"/>
        <w:keepLines w:val="0"/>
        <w:pageBreakBefore w:val="0"/>
        <w:widowControl w:val="0"/>
        <w:kinsoku/>
        <w:wordWrap/>
        <w:overflowPunct/>
        <w:topLinePunct w:val="0"/>
        <w:bidi w:val="0"/>
        <w:snapToGrid/>
        <w:spacing w:line="360" w:lineRule="exact"/>
        <w:ind w:left="0" w:leftChars="0" w:right="0" w:rightChars="0" w:firstLine="560" w:firstLineChars="200"/>
        <w:textAlignment w:val="auto"/>
        <w:outlineLvl w:val="9"/>
        <w:rPr>
          <w:rFonts w:ascii="仿宋_GB2312" w:eastAsia="仿宋_GB2312"/>
          <w:color w:val="auto"/>
          <w:sz w:val="28"/>
          <w:szCs w:val="28"/>
        </w:rPr>
      </w:pPr>
      <w:r>
        <w:rPr>
          <w:rFonts w:ascii="仿宋_GB2312" w:eastAsia="仿宋_GB2312"/>
          <w:color w:val="auto"/>
          <w:sz w:val="28"/>
          <w:szCs w:val="28"/>
        </w:rPr>
        <w:t>3.2</w:t>
      </w:r>
      <w:r>
        <w:rPr>
          <w:rFonts w:hint="eastAsia" w:ascii="仿宋_GB2312" w:eastAsia="仿宋_GB2312"/>
          <w:color w:val="auto"/>
          <w:sz w:val="28"/>
          <w:szCs w:val="28"/>
        </w:rPr>
        <w:t>各施工、活动组织单位</w:t>
      </w:r>
    </w:p>
    <w:p>
      <w:pPr>
        <w:keepNext w:val="0"/>
        <w:keepLines w:val="0"/>
        <w:pageBreakBefore w:val="0"/>
        <w:widowControl w:val="0"/>
        <w:kinsoku/>
        <w:wordWrap/>
        <w:overflowPunct/>
        <w:topLinePunct w:val="0"/>
        <w:bidi w:val="0"/>
        <w:snapToGrid/>
        <w:spacing w:line="360" w:lineRule="exact"/>
        <w:ind w:left="0" w:leftChars="0" w:right="0" w:rightChars="0" w:firstLine="560" w:firstLineChars="200"/>
        <w:textAlignment w:val="auto"/>
        <w:outlineLvl w:val="9"/>
        <w:rPr>
          <w:rFonts w:ascii="仿宋_GB2312" w:eastAsia="仿宋_GB2312"/>
          <w:color w:val="auto"/>
          <w:sz w:val="28"/>
          <w:szCs w:val="28"/>
        </w:rPr>
      </w:pPr>
      <w:r>
        <w:rPr>
          <w:rFonts w:hint="eastAsia" w:ascii="仿宋_GB2312" w:eastAsia="仿宋_GB2312"/>
          <w:color w:val="auto"/>
          <w:sz w:val="28"/>
          <w:szCs w:val="28"/>
        </w:rPr>
        <w:t>3.2.1根据施工、活动实际情况，按照《航站楼围界管理标准》要求，向航站区管理中心提出围界设置申请。</w:t>
      </w:r>
    </w:p>
    <w:p>
      <w:pPr>
        <w:keepNext w:val="0"/>
        <w:keepLines w:val="0"/>
        <w:pageBreakBefore w:val="0"/>
        <w:widowControl w:val="0"/>
        <w:kinsoku/>
        <w:wordWrap/>
        <w:overflowPunct/>
        <w:topLinePunct w:val="0"/>
        <w:bidi w:val="0"/>
        <w:snapToGrid/>
        <w:spacing w:line="360" w:lineRule="exact"/>
        <w:ind w:left="0" w:leftChars="0" w:right="0" w:rightChars="0" w:firstLine="560" w:firstLineChars="200"/>
        <w:textAlignment w:val="auto"/>
        <w:outlineLvl w:val="9"/>
        <w:rPr>
          <w:rFonts w:ascii="仿宋_GB2312" w:eastAsia="仿宋_GB2312"/>
          <w:color w:val="auto"/>
          <w:sz w:val="28"/>
          <w:szCs w:val="28"/>
        </w:rPr>
      </w:pPr>
      <w:r>
        <w:rPr>
          <w:rFonts w:hint="eastAsia" w:ascii="仿宋_GB2312" w:eastAsia="仿宋_GB2312"/>
          <w:color w:val="auto"/>
          <w:sz w:val="28"/>
          <w:szCs w:val="28"/>
        </w:rPr>
        <w:t>3.2.2审批通过后，按标准制作并设置围界。</w:t>
      </w:r>
    </w:p>
    <w:p>
      <w:pPr>
        <w:keepNext w:val="0"/>
        <w:keepLines w:val="0"/>
        <w:pageBreakBefore w:val="0"/>
        <w:widowControl w:val="0"/>
        <w:kinsoku/>
        <w:wordWrap/>
        <w:overflowPunct/>
        <w:topLinePunct w:val="0"/>
        <w:bidi w:val="0"/>
        <w:snapToGrid/>
        <w:spacing w:line="360" w:lineRule="exact"/>
        <w:ind w:left="0" w:leftChars="0" w:right="0" w:rightChars="0" w:firstLine="560" w:firstLineChars="200"/>
        <w:textAlignment w:val="auto"/>
        <w:outlineLvl w:val="9"/>
        <w:rPr>
          <w:rFonts w:ascii="仿宋_GB2312" w:eastAsia="仿宋_GB2312"/>
          <w:color w:val="auto"/>
          <w:sz w:val="28"/>
          <w:szCs w:val="28"/>
        </w:rPr>
      </w:pPr>
      <w:r>
        <w:rPr>
          <w:rFonts w:hint="eastAsia" w:ascii="仿宋_GB2312" w:eastAsia="仿宋_GB2312"/>
          <w:color w:val="auto"/>
          <w:sz w:val="28"/>
          <w:szCs w:val="28"/>
        </w:rPr>
        <w:t>3.2.3负责围界设置现场的实时监管。</w:t>
      </w:r>
    </w:p>
    <w:p>
      <w:pPr>
        <w:keepNext w:val="0"/>
        <w:keepLines w:val="0"/>
        <w:pageBreakBefore w:val="0"/>
        <w:widowControl w:val="0"/>
        <w:kinsoku/>
        <w:wordWrap/>
        <w:overflowPunct/>
        <w:topLinePunct w:val="0"/>
        <w:bidi w:val="0"/>
        <w:snapToGrid/>
        <w:spacing w:line="360" w:lineRule="exact"/>
        <w:ind w:left="0" w:leftChars="0" w:right="0" w:rightChars="0" w:firstLine="560" w:firstLineChars="200"/>
        <w:textAlignment w:val="auto"/>
        <w:outlineLvl w:val="9"/>
        <w:rPr>
          <w:rFonts w:ascii="仿宋_GB2312" w:eastAsia="仿宋_GB2312"/>
          <w:color w:val="auto"/>
          <w:sz w:val="28"/>
          <w:szCs w:val="28"/>
        </w:rPr>
      </w:pPr>
      <w:r>
        <w:rPr>
          <w:rFonts w:hint="eastAsia" w:ascii="仿宋_GB2312" w:eastAsia="仿宋_GB2312"/>
          <w:color w:val="auto"/>
          <w:sz w:val="28"/>
          <w:szCs w:val="28"/>
        </w:rPr>
        <w:t>3.2.4及时纠正围界设置、使用过程中的违规行为，在施工、活动结束后，及时拆除围界，还原现场。</w:t>
      </w:r>
    </w:p>
    <w:p>
      <w:pPr>
        <w:keepNext w:val="0"/>
        <w:keepLines w:val="0"/>
        <w:pageBreakBefore w:val="0"/>
        <w:widowControl w:val="0"/>
        <w:kinsoku/>
        <w:wordWrap/>
        <w:overflowPunct/>
        <w:topLinePunct w:val="0"/>
        <w:bidi w:val="0"/>
        <w:snapToGrid/>
        <w:spacing w:line="360" w:lineRule="exact"/>
        <w:ind w:left="0" w:leftChars="0" w:right="0" w:rightChars="0" w:firstLine="560" w:firstLineChars="200"/>
        <w:textAlignment w:val="auto"/>
        <w:outlineLvl w:val="9"/>
        <w:rPr>
          <w:rFonts w:ascii="仿宋_GB2312" w:eastAsia="仿宋_GB2312"/>
          <w:color w:val="auto"/>
          <w:sz w:val="28"/>
          <w:szCs w:val="28"/>
        </w:rPr>
      </w:pPr>
      <w:r>
        <w:rPr>
          <w:rFonts w:hint="eastAsia" w:ascii="仿宋_GB2312" w:eastAsia="仿宋_GB2312"/>
          <w:color w:val="auto"/>
          <w:sz w:val="28"/>
          <w:szCs w:val="28"/>
        </w:rPr>
        <w:t>4、管理标准</w:t>
      </w:r>
    </w:p>
    <w:p>
      <w:pPr>
        <w:keepNext w:val="0"/>
        <w:keepLines w:val="0"/>
        <w:pageBreakBefore w:val="0"/>
        <w:widowControl w:val="0"/>
        <w:kinsoku/>
        <w:wordWrap/>
        <w:overflowPunct/>
        <w:topLinePunct w:val="0"/>
        <w:bidi w:val="0"/>
        <w:snapToGrid/>
        <w:spacing w:line="360" w:lineRule="exact"/>
        <w:ind w:left="0" w:leftChars="0" w:right="0" w:rightChars="0" w:firstLine="560" w:firstLineChars="200"/>
        <w:textAlignment w:val="auto"/>
        <w:outlineLvl w:val="9"/>
        <w:rPr>
          <w:rFonts w:ascii="仿宋_GB2312" w:eastAsia="仿宋_GB2312"/>
          <w:color w:val="auto"/>
          <w:sz w:val="28"/>
          <w:szCs w:val="28"/>
        </w:rPr>
      </w:pPr>
      <w:r>
        <w:rPr>
          <w:rFonts w:hint="eastAsia" w:ascii="仿宋_GB2312" w:eastAsia="仿宋_GB2312"/>
          <w:color w:val="auto"/>
          <w:sz w:val="28"/>
          <w:szCs w:val="28"/>
        </w:rPr>
        <w:t>4.1围界的分类</w:t>
      </w:r>
    </w:p>
    <w:p>
      <w:pPr>
        <w:keepNext w:val="0"/>
        <w:keepLines w:val="0"/>
        <w:pageBreakBefore w:val="0"/>
        <w:widowControl w:val="0"/>
        <w:kinsoku/>
        <w:wordWrap/>
        <w:overflowPunct/>
        <w:topLinePunct w:val="0"/>
        <w:bidi w:val="0"/>
        <w:snapToGrid/>
        <w:spacing w:line="360" w:lineRule="exact"/>
        <w:ind w:left="0" w:leftChars="0" w:right="0" w:rightChars="0" w:firstLine="560" w:firstLineChars="200"/>
        <w:textAlignment w:val="auto"/>
        <w:outlineLvl w:val="9"/>
        <w:rPr>
          <w:rFonts w:ascii="仿宋_GB2312" w:eastAsia="仿宋_GB2312"/>
          <w:color w:val="auto"/>
          <w:sz w:val="28"/>
          <w:szCs w:val="28"/>
        </w:rPr>
      </w:pPr>
      <w:r>
        <w:rPr>
          <w:rFonts w:hint="eastAsia" w:ascii="仿宋_GB2312" w:eastAsia="仿宋_GB2312"/>
          <w:color w:val="auto"/>
          <w:sz w:val="28"/>
          <w:szCs w:val="28"/>
        </w:rPr>
        <w:t>4.1.1航站楼内的围界是指为实现楼内施工有序进行及确保旅客人身安全而设置的用于隔离旅客与施工改造区域、维保区块、维护设施设备或临时活动场地之间的介质。按照使用对象的不同，分为大型板材围界、立式框架式临时围界、链式临时围界和隔离护栏式围界。</w:t>
      </w:r>
    </w:p>
    <w:p>
      <w:pPr>
        <w:keepNext w:val="0"/>
        <w:keepLines w:val="0"/>
        <w:pageBreakBefore w:val="0"/>
        <w:widowControl w:val="0"/>
        <w:kinsoku/>
        <w:wordWrap/>
        <w:overflowPunct/>
        <w:topLinePunct w:val="0"/>
        <w:bidi w:val="0"/>
        <w:snapToGrid/>
        <w:spacing w:line="360" w:lineRule="exact"/>
        <w:ind w:left="0" w:leftChars="0" w:right="0" w:rightChars="0" w:firstLine="560" w:firstLineChars="200"/>
        <w:textAlignment w:val="auto"/>
        <w:outlineLvl w:val="9"/>
        <w:rPr>
          <w:rFonts w:ascii="仿宋_GB2312" w:eastAsia="仿宋_GB2312"/>
          <w:color w:val="auto"/>
          <w:sz w:val="28"/>
          <w:szCs w:val="28"/>
        </w:rPr>
      </w:pPr>
      <w:r>
        <w:rPr>
          <w:rFonts w:hint="eastAsia" w:ascii="仿宋_GB2312" w:eastAsia="仿宋_GB2312"/>
          <w:color w:val="auto"/>
          <w:sz w:val="28"/>
          <w:szCs w:val="28"/>
        </w:rPr>
        <w:t>4.1.2大型板材围界主要用于施工期（停工期）较长、工程量较大的航站楼功能布局改造和商业装修。</w:t>
      </w:r>
    </w:p>
    <w:p>
      <w:pPr>
        <w:keepNext w:val="0"/>
        <w:keepLines w:val="0"/>
        <w:pageBreakBefore w:val="0"/>
        <w:widowControl w:val="0"/>
        <w:kinsoku/>
        <w:wordWrap/>
        <w:overflowPunct/>
        <w:topLinePunct w:val="0"/>
        <w:bidi w:val="0"/>
        <w:snapToGrid/>
        <w:spacing w:line="360" w:lineRule="exact"/>
        <w:ind w:left="0" w:leftChars="0" w:right="0" w:rightChars="0" w:firstLine="560" w:firstLineChars="200"/>
        <w:textAlignment w:val="auto"/>
        <w:outlineLvl w:val="9"/>
        <w:rPr>
          <w:rFonts w:ascii="仿宋_GB2312" w:eastAsia="仿宋_GB2312"/>
          <w:color w:val="auto"/>
          <w:sz w:val="28"/>
          <w:szCs w:val="28"/>
        </w:rPr>
      </w:pPr>
      <w:r>
        <w:rPr>
          <w:rFonts w:hint="eastAsia" w:ascii="仿宋_GB2312" w:eastAsia="仿宋_GB2312"/>
          <w:color w:val="auto"/>
          <w:sz w:val="28"/>
          <w:szCs w:val="28"/>
        </w:rPr>
        <w:t>4.1.3立式框架式临时围界主要用于短时、小区域的设施设备维修和维护。</w:t>
      </w:r>
    </w:p>
    <w:p>
      <w:pPr>
        <w:keepNext w:val="0"/>
        <w:keepLines w:val="0"/>
        <w:pageBreakBefore w:val="0"/>
        <w:widowControl w:val="0"/>
        <w:kinsoku/>
        <w:wordWrap/>
        <w:overflowPunct/>
        <w:topLinePunct w:val="0"/>
        <w:bidi w:val="0"/>
        <w:snapToGrid/>
        <w:spacing w:line="360" w:lineRule="exact"/>
        <w:ind w:left="0" w:leftChars="0" w:right="0" w:rightChars="0" w:firstLine="560" w:firstLineChars="200"/>
        <w:textAlignment w:val="auto"/>
        <w:outlineLvl w:val="9"/>
        <w:rPr>
          <w:rFonts w:ascii="仿宋_GB2312" w:eastAsia="仿宋_GB2312"/>
          <w:color w:val="auto"/>
          <w:sz w:val="28"/>
          <w:szCs w:val="28"/>
        </w:rPr>
      </w:pPr>
      <w:r>
        <w:rPr>
          <w:rFonts w:hint="eastAsia" w:ascii="仿宋_GB2312" w:eastAsia="仿宋_GB2312"/>
          <w:color w:val="auto"/>
          <w:sz w:val="28"/>
          <w:szCs w:val="28"/>
        </w:rPr>
        <w:t>4.1.4链式临时围界主要用于短时、相对大区域的新增设施设备安装和区域保洁。</w:t>
      </w:r>
    </w:p>
    <w:p>
      <w:pPr>
        <w:keepNext w:val="0"/>
        <w:keepLines w:val="0"/>
        <w:pageBreakBefore w:val="0"/>
        <w:widowControl w:val="0"/>
        <w:kinsoku/>
        <w:wordWrap/>
        <w:overflowPunct/>
        <w:topLinePunct w:val="0"/>
        <w:bidi w:val="0"/>
        <w:snapToGrid/>
        <w:spacing w:line="360" w:lineRule="exact"/>
        <w:ind w:left="0" w:leftChars="0" w:right="0" w:rightChars="0" w:firstLine="560" w:firstLineChars="200"/>
        <w:textAlignment w:val="auto"/>
        <w:outlineLvl w:val="9"/>
        <w:rPr>
          <w:rFonts w:ascii="仿宋_GB2312" w:eastAsia="仿宋_GB2312"/>
          <w:color w:val="auto"/>
          <w:sz w:val="28"/>
          <w:szCs w:val="28"/>
        </w:rPr>
      </w:pPr>
      <w:r>
        <w:rPr>
          <w:rFonts w:hint="eastAsia" w:ascii="仿宋_GB2312" w:eastAsia="仿宋_GB2312"/>
          <w:color w:val="auto"/>
          <w:sz w:val="28"/>
          <w:szCs w:val="28"/>
        </w:rPr>
        <w:t>4.1.5隔离护栏式围界主要用于航站楼内旅客流程引导及临时主题活动、庆典的区域隔离。</w:t>
      </w:r>
    </w:p>
    <w:p>
      <w:pPr>
        <w:keepNext w:val="0"/>
        <w:keepLines w:val="0"/>
        <w:pageBreakBefore w:val="0"/>
        <w:widowControl w:val="0"/>
        <w:kinsoku/>
        <w:wordWrap/>
        <w:overflowPunct/>
        <w:topLinePunct w:val="0"/>
        <w:bidi w:val="0"/>
        <w:snapToGrid/>
        <w:spacing w:line="360" w:lineRule="exact"/>
        <w:ind w:left="0" w:leftChars="0" w:right="0" w:rightChars="0" w:firstLine="560" w:firstLineChars="200"/>
        <w:textAlignment w:val="auto"/>
        <w:outlineLvl w:val="9"/>
        <w:rPr>
          <w:rFonts w:ascii="仿宋_GB2312" w:eastAsia="仿宋_GB2312"/>
          <w:color w:val="auto"/>
          <w:sz w:val="28"/>
          <w:szCs w:val="28"/>
        </w:rPr>
      </w:pPr>
      <w:r>
        <w:rPr>
          <w:rFonts w:hint="eastAsia" w:ascii="仿宋_GB2312" w:eastAsia="仿宋_GB2312"/>
          <w:color w:val="auto"/>
          <w:sz w:val="28"/>
          <w:szCs w:val="28"/>
        </w:rPr>
        <w:t>4.2围界的申请</w:t>
      </w:r>
    </w:p>
    <w:p>
      <w:pPr>
        <w:keepNext w:val="0"/>
        <w:keepLines w:val="0"/>
        <w:pageBreakBefore w:val="0"/>
        <w:widowControl w:val="0"/>
        <w:kinsoku/>
        <w:wordWrap/>
        <w:overflowPunct/>
        <w:topLinePunct w:val="0"/>
        <w:bidi w:val="0"/>
        <w:snapToGrid/>
        <w:spacing w:line="360" w:lineRule="exact"/>
        <w:ind w:left="0" w:leftChars="0" w:right="0" w:rightChars="0" w:firstLine="560" w:firstLineChars="200"/>
        <w:textAlignment w:val="auto"/>
        <w:outlineLvl w:val="9"/>
        <w:rPr>
          <w:rFonts w:ascii="仿宋_GB2312" w:eastAsia="仿宋_GB2312"/>
          <w:color w:val="auto"/>
          <w:sz w:val="28"/>
          <w:szCs w:val="28"/>
        </w:rPr>
      </w:pPr>
      <w:r>
        <w:rPr>
          <w:rFonts w:ascii="仿宋_GB2312" w:eastAsia="仿宋_GB2312"/>
          <w:color w:val="auto"/>
          <w:sz w:val="28"/>
          <w:szCs w:val="28"/>
        </w:rPr>
        <w:t>4.2.1</w:t>
      </w:r>
      <w:r>
        <w:rPr>
          <w:rFonts w:hint="eastAsia" w:ascii="仿宋_GB2312" w:eastAsia="仿宋_GB2312"/>
          <w:color w:val="auto"/>
          <w:sz w:val="28"/>
          <w:szCs w:val="28"/>
        </w:rPr>
        <w:t>各施工、活动组织单位在航站楼内组织各项施工改造、商业装修、新增设施设备安装、设施设备维护、区域保洁、主题活动、庆典前，向航站区管理中心申请或报备以上活动时，应同时提出相关围界设置申请，填写《航站楼围界使用申请表》。</w:t>
      </w:r>
    </w:p>
    <w:p>
      <w:pPr>
        <w:keepNext w:val="0"/>
        <w:keepLines w:val="0"/>
        <w:pageBreakBefore w:val="0"/>
        <w:widowControl w:val="0"/>
        <w:kinsoku/>
        <w:wordWrap/>
        <w:overflowPunct/>
        <w:topLinePunct w:val="0"/>
        <w:bidi w:val="0"/>
        <w:snapToGrid/>
        <w:spacing w:line="360" w:lineRule="exact"/>
        <w:ind w:left="0" w:leftChars="0" w:right="0" w:rightChars="0" w:firstLine="560" w:firstLineChars="200"/>
        <w:textAlignment w:val="auto"/>
        <w:outlineLvl w:val="9"/>
        <w:rPr>
          <w:rFonts w:ascii="仿宋_GB2312" w:eastAsia="仿宋_GB2312"/>
          <w:color w:val="auto"/>
          <w:sz w:val="28"/>
          <w:szCs w:val="28"/>
        </w:rPr>
      </w:pPr>
      <w:r>
        <w:rPr>
          <w:rFonts w:hint="eastAsia" w:ascii="仿宋_GB2312" w:eastAsia="仿宋_GB2312"/>
          <w:color w:val="auto"/>
          <w:sz w:val="28"/>
          <w:szCs w:val="28"/>
        </w:rPr>
        <w:t>4.2.2对于周期性的短时维修、维护及区域保洁项目，由申请单位向航站区管理中心监管室报备后，经施工管理员现场确认无误后即可实施。</w:t>
      </w:r>
    </w:p>
    <w:p>
      <w:pPr>
        <w:keepNext w:val="0"/>
        <w:keepLines w:val="0"/>
        <w:pageBreakBefore w:val="0"/>
        <w:widowControl w:val="0"/>
        <w:kinsoku/>
        <w:wordWrap/>
        <w:overflowPunct/>
        <w:topLinePunct w:val="0"/>
        <w:bidi w:val="0"/>
        <w:snapToGrid/>
        <w:spacing w:line="360" w:lineRule="exact"/>
        <w:ind w:left="0" w:leftChars="0" w:right="0" w:rightChars="0" w:firstLine="560" w:firstLineChars="200"/>
        <w:textAlignment w:val="auto"/>
        <w:outlineLvl w:val="9"/>
        <w:rPr>
          <w:rFonts w:ascii="仿宋_GB2312" w:eastAsia="仿宋_GB2312"/>
          <w:color w:val="auto"/>
          <w:sz w:val="28"/>
          <w:szCs w:val="28"/>
        </w:rPr>
      </w:pPr>
      <w:r>
        <w:rPr>
          <w:rFonts w:hint="eastAsia" w:ascii="仿宋_GB2312" w:eastAsia="仿宋_GB2312"/>
          <w:color w:val="auto"/>
          <w:sz w:val="28"/>
          <w:szCs w:val="28"/>
        </w:rPr>
        <w:t>4.3围界的样式</w:t>
      </w:r>
    </w:p>
    <w:p>
      <w:pPr>
        <w:keepNext w:val="0"/>
        <w:keepLines w:val="0"/>
        <w:pageBreakBefore w:val="0"/>
        <w:widowControl w:val="0"/>
        <w:kinsoku/>
        <w:wordWrap/>
        <w:overflowPunct/>
        <w:topLinePunct w:val="0"/>
        <w:bidi w:val="0"/>
        <w:snapToGrid/>
        <w:spacing w:line="360" w:lineRule="exact"/>
        <w:ind w:left="0" w:leftChars="0" w:right="0" w:rightChars="0" w:firstLine="560" w:firstLineChars="200"/>
        <w:textAlignment w:val="auto"/>
        <w:outlineLvl w:val="9"/>
        <w:rPr>
          <w:rFonts w:ascii="仿宋_GB2312" w:eastAsia="仿宋_GB2312"/>
          <w:color w:val="auto"/>
          <w:sz w:val="28"/>
          <w:szCs w:val="28"/>
        </w:rPr>
      </w:pPr>
      <w:r>
        <w:rPr>
          <w:rFonts w:hint="eastAsia" w:ascii="仿宋_GB2312" w:eastAsia="仿宋_GB2312"/>
          <w:color w:val="auto"/>
          <w:sz w:val="28"/>
          <w:szCs w:val="28"/>
        </w:rPr>
        <w:t>4.3.1围界的样式由航站区管理中心统一确定发布。施工、活动组织单位在航站楼内的施工、活动申请批复后可向航</w:t>
      </w:r>
      <w:r>
        <w:rPr>
          <w:rFonts w:hint="eastAsia" w:ascii="仿宋_GB2312" w:eastAsia="仿宋_GB2312"/>
          <w:color w:val="auto"/>
          <w:spacing w:val="-8"/>
          <w:sz w:val="28"/>
          <w:szCs w:val="28"/>
        </w:rPr>
        <w:t>站区管理中心领取相关围界样式版本自行制作或申请借用。</w:t>
      </w:r>
    </w:p>
    <w:p>
      <w:pPr>
        <w:keepNext w:val="0"/>
        <w:keepLines w:val="0"/>
        <w:pageBreakBefore w:val="0"/>
        <w:widowControl w:val="0"/>
        <w:kinsoku/>
        <w:wordWrap/>
        <w:overflowPunct/>
        <w:topLinePunct w:val="0"/>
        <w:bidi w:val="0"/>
        <w:snapToGrid/>
        <w:spacing w:line="360" w:lineRule="exact"/>
        <w:ind w:left="0" w:leftChars="0" w:right="0" w:rightChars="0" w:firstLine="560" w:firstLineChars="200"/>
        <w:textAlignment w:val="auto"/>
        <w:outlineLvl w:val="9"/>
        <w:rPr>
          <w:rFonts w:ascii="仿宋_GB2312" w:eastAsia="仿宋_GB2312"/>
          <w:color w:val="auto"/>
          <w:sz w:val="28"/>
          <w:szCs w:val="28"/>
        </w:rPr>
      </w:pPr>
      <w:r>
        <w:rPr>
          <w:rFonts w:ascii="仿宋_GB2312" w:eastAsia="仿宋_GB2312"/>
          <w:color w:val="auto"/>
          <w:sz w:val="28"/>
          <w:szCs w:val="28"/>
        </w:rPr>
        <w:t>4.3.</w:t>
      </w:r>
      <w:r>
        <w:rPr>
          <w:rFonts w:hint="eastAsia" w:ascii="仿宋_GB2312" w:eastAsia="仿宋_GB2312"/>
          <w:color w:val="auto"/>
          <w:sz w:val="28"/>
          <w:szCs w:val="28"/>
        </w:rPr>
        <w:t>2隔离护栏式围界由航站区管理中心统一采购、制作、提供。</w:t>
      </w:r>
    </w:p>
    <w:p>
      <w:pPr>
        <w:keepNext w:val="0"/>
        <w:keepLines w:val="0"/>
        <w:pageBreakBefore w:val="0"/>
        <w:widowControl w:val="0"/>
        <w:kinsoku/>
        <w:wordWrap/>
        <w:overflowPunct/>
        <w:topLinePunct w:val="0"/>
        <w:bidi w:val="0"/>
        <w:snapToGrid/>
        <w:spacing w:line="360" w:lineRule="exact"/>
        <w:ind w:left="0" w:leftChars="0" w:right="0" w:rightChars="0" w:firstLine="560" w:firstLineChars="200"/>
        <w:textAlignment w:val="auto"/>
        <w:outlineLvl w:val="9"/>
        <w:rPr>
          <w:rFonts w:ascii="仿宋_GB2312" w:eastAsia="仿宋_GB2312"/>
          <w:color w:val="auto"/>
          <w:sz w:val="28"/>
          <w:szCs w:val="28"/>
        </w:rPr>
      </w:pPr>
      <w:r>
        <w:rPr>
          <w:rFonts w:hint="eastAsia" w:ascii="仿宋_GB2312" w:eastAsia="仿宋_GB2312"/>
          <w:color w:val="auto"/>
          <w:sz w:val="28"/>
          <w:szCs w:val="28"/>
        </w:rPr>
        <w:t>4.4围界的设置</w:t>
      </w:r>
    </w:p>
    <w:p>
      <w:pPr>
        <w:keepNext w:val="0"/>
        <w:keepLines w:val="0"/>
        <w:pageBreakBefore w:val="0"/>
        <w:widowControl w:val="0"/>
        <w:kinsoku/>
        <w:wordWrap/>
        <w:overflowPunct/>
        <w:topLinePunct w:val="0"/>
        <w:bidi w:val="0"/>
        <w:snapToGrid/>
        <w:spacing w:line="360" w:lineRule="exact"/>
        <w:ind w:left="0" w:leftChars="0" w:right="0" w:rightChars="0" w:firstLine="560" w:firstLineChars="200"/>
        <w:textAlignment w:val="auto"/>
        <w:outlineLvl w:val="9"/>
        <w:rPr>
          <w:rFonts w:ascii="仿宋_GB2312" w:eastAsia="仿宋_GB2312"/>
          <w:color w:val="auto"/>
          <w:sz w:val="28"/>
          <w:szCs w:val="28"/>
        </w:rPr>
      </w:pPr>
      <w:r>
        <w:rPr>
          <w:rFonts w:hint="eastAsia" w:ascii="仿宋_GB2312" w:eastAsia="仿宋_GB2312"/>
          <w:color w:val="auto"/>
          <w:sz w:val="28"/>
          <w:szCs w:val="28"/>
        </w:rPr>
        <w:t>4.4.1围界的制作材料需符合消防环保标准，不得使用可燃、易燃、有异味、易断裂的材质。</w:t>
      </w:r>
    </w:p>
    <w:p>
      <w:pPr>
        <w:keepNext w:val="0"/>
        <w:keepLines w:val="0"/>
        <w:pageBreakBefore w:val="0"/>
        <w:widowControl w:val="0"/>
        <w:kinsoku/>
        <w:wordWrap/>
        <w:overflowPunct/>
        <w:topLinePunct w:val="0"/>
        <w:bidi w:val="0"/>
        <w:snapToGrid/>
        <w:spacing w:line="360" w:lineRule="exact"/>
        <w:ind w:left="0" w:leftChars="0" w:right="0" w:rightChars="0" w:firstLine="560" w:firstLineChars="200"/>
        <w:textAlignment w:val="auto"/>
        <w:outlineLvl w:val="9"/>
        <w:rPr>
          <w:rFonts w:ascii="仿宋_GB2312" w:eastAsia="仿宋_GB2312"/>
          <w:color w:val="auto"/>
          <w:sz w:val="28"/>
          <w:szCs w:val="28"/>
        </w:rPr>
      </w:pPr>
      <w:r>
        <w:rPr>
          <w:rFonts w:hint="eastAsia" w:ascii="仿宋_GB2312" w:eastAsia="仿宋_GB2312"/>
          <w:color w:val="auto"/>
          <w:sz w:val="28"/>
          <w:szCs w:val="28"/>
        </w:rPr>
        <w:t>4.4.2围界的设置不得遮挡标示标牌，不得妨碍旅客流程，如无法避免的，应做好解决替代预案。</w:t>
      </w:r>
    </w:p>
    <w:p>
      <w:pPr>
        <w:keepNext w:val="0"/>
        <w:keepLines w:val="0"/>
        <w:pageBreakBefore w:val="0"/>
        <w:widowControl w:val="0"/>
        <w:kinsoku/>
        <w:wordWrap/>
        <w:overflowPunct/>
        <w:topLinePunct w:val="0"/>
        <w:bidi w:val="0"/>
        <w:snapToGrid/>
        <w:spacing w:line="360" w:lineRule="exact"/>
        <w:ind w:left="0" w:leftChars="0" w:right="0" w:rightChars="0" w:firstLine="560" w:firstLineChars="200"/>
        <w:textAlignment w:val="auto"/>
        <w:outlineLvl w:val="9"/>
        <w:rPr>
          <w:rFonts w:ascii="仿宋_GB2312" w:eastAsia="仿宋_GB2312"/>
          <w:color w:val="auto"/>
          <w:sz w:val="28"/>
          <w:szCs w:val="28"/>
        </w:rPr>
      </w:pPr>
      <w:r>
        <w:rPr>
          <w:rFonts w:hint="eastAsia" w:ascii="仿宋_GB2312" w:eastAsia="仿宋_GB2312"/>
          <w:color w:val="auto"/>
          <w:sz w:val="28"/>
          <w:szCs w:val="28"/>
        </w:rPr>
        <w:t>4.4.3围界的设置应牢固且不易倒伏，横平竖直。围界应连续设置，确保区域隔离的有效性。</w:t>
      </w:r>
    </w:p>
    <w:p>
      <w:pPr>
        <w:keepNext w:val="0"/>
        <w:keepLines w:val="0"/>
        <w:pageBreakBefore w:val="0"/>
        <w:widowControl w:val="0"/>
        <w:kinsoku/>
        <w:wordWrap/>
        <w:overflowPunct/>
        <w:topLinePunct w:val="0"/>
        <w:bidi w:val="0"/>
        <w:snapToGrid/>
        <w:spacing w:line="360" w:lineRule="exact"/>
        <w:ind w:left="0" w:leftChars="0" w:right="0" w:rightChars="0" w:firstLine="560" w:firstLineChars="200"/>
        <w:textAlignment w:val="auto"/>
        <w:outlineLvl w:val="9"/>
        <w:rPr>
          <w:rFonts w:ascii="仿宋_GB2312" w:eastAsia="仿宋_GB2312"/>
          <w:color w:val="auto"/>
          <w:sz w:val="28"/>
          <w:szCs w:val="28"/>
        </w:rPr>
      </w:pPr>
      <w:r>
        <w:rPr>
          <w:rFonts w:hint="eastAsia" w:ascii="仿宋_GB2312" w:eastAsia="仿宋_GB2312"/>
          <w:color w:val="auto"/>
          <w:sz w:val="28"/>
          <w:szCs w:val="28"/>
        </w:rPr>
        <w:t>4.4.4围界应保持整洁，围界附近不得堆放物品。围界使用单位或部门应随时查看围界使用情况，发现破损的，应立即维修或更换。围界内相关物品须摆放整齐，井然有序。申请单位应自觉做好施工物品监管工作。</w:t>
      </w:r>
    </w:p>
    <w:p>
      <w:pPr>
        <w:keepNext w:val="0"/>
        <w:keepLines w:val="0"/>
        <w:pageBreakBefore w:val="0"/>
        <w:widowControl w:val="0"/>
        <w:kinsoku/>
        <w:wordWrap/>
        <w:overflowPunct/>
        <w:topLinePunct w:val="0"/>
        <w:bidi w:val="0"/>
        <w:snapToGrid/>
        <w:spacing w:line="360" w:lineRule="exact"/>
        <w:ind w:left="0" w:leftChars="0" w:right="0" w:rightChars="0" w:firstLine="560" w:firstLineChars="200"/>
        <w:textAlignment w:val="auto"/>
        <w:outlineLvl w:val="9"/>
        <w:rPr>
          <w:rFonts w:ascii="仿宋_GB2312" w:eastAsia="仿宋_GB2312"/>
          <w:color w:val="auto"/>
          <w:sz w:val="28"/>
          <w:szCs w:val="28"/>
        </w:rPr>
      </w:pPr>
      <w:r>
        <w:rPr>
          <w:rFonts w:hint="eastAsia" w:ascii="仿宋_GB2312" w:eastAsia="仿宋_GB2312"/>
          <w:color w:val="auto"/>
          <w:sz w:val="28"/>
          <w:szCs w:val="28"/>
        </w:rPr>
        <w:t>4.4.5大型板材围界的设置</w:t>
      </w:r>
    </w:p>
    <w:p>
      <w:pPr>
        <w:keepNext w:val="0"/>
        <w:keepLines w:val="0"/>
        <w:pageBreakBefore w:val="0"/>
        <w:widowControl w:val="0"/>
        <w:kinsoku/>
        <w:wordWrap/>
        <w:overflowPunct/>
        <w:topLinePunct w:val="0"/>
        <w:bidi w:val="0"/>
        <w:snapToGrid/>
        <w:spacing w:line="360" w:lineRule="exact"/>
        <w:ind w:left="0" w:leftChars="0" w:right="0" w:rightChars="0" w:firstLine="560" w:firstLineChars="200"/>
        <w:textAlignment w:val="auto"/>
        <w:outlineLvl w:val="9"/>
        <w:rPr>
          <w:rFonts w:ascii="仿宋_GB2312" w:eastAsia="仿宋_GB2312"/>
          <w:color w:val="auto"/>
          <w:sz w:val="28"/>
          <w:szCs w:val="28"/>
        </w:rPr>
      </w:pPr>
      <w:r>
        <w:rPr>
          <w:rFonts w:hint="eastAsia" w:ascii="仿宋_GB2312" w:eastAsia="仿宋_GB2312"/>
          <w:color w:val="auto"/>
          <w:sz w:val="28"/>
          <w:szCs w:val="28"/>
        </w:rPr>
        <w:t>4.4.5.1组织单位应严格按照批准的地点、时间、范围设置围界，不得擅自变动。大型板材围界应符合航站区管理中心提供的样式标准、围布内容须按照航站区管理中心要求进行喷绘，不得擅自增加内容。</w:t>
      </w:r>
    </w:p>
    <w:p>
      <w:pPr>
        <w:keepNext w:val="0"/>
        <w:keepLines w:val="0"/>
        <w:pageBreakBefore w:val="0"/>
        <w:widowControl w:val="0"/>
        <w:kinsoku/>
        <w:wordWrap/>
        <w:overflowPunct/>
        <w:topLinePunct w:val="0"/>
        <w:bidi w:val="0"/>
        <w:snapToGrid/>
        <w:spacing w:line="360" w:lineRule="exact"/>
        <w:ind w:left="0" w:leftChars="0" w:right="0" w:rightChars="0" w:firstLine="560" w:firstLineChars="200"/>
        <w:textAlignment w:val="auto"/>
        <w:outlineLvl w:val="9"/>
        <w:rPr>
          <w:rFonts w:ascii="仿宋_GB2312" w:eastAsia="仿宋_GB2312"/>
          <w:color w:val="auto"/>
          <w:sz w:val="28"/>
          <w:szCs w:val="28"/>
        </w:rPr>
      </w:pPr>
      <w:r>
        <w:rPr>
          <w:rFonts w:hint="eastAsia" w:ascii="仿宋_GB2312" w:eastAsia="仿宋_GB2312"/>
          <w:color w:val="auto"/>
          <w:sz w:val="28"/>
          <w:szCs w:val="28"/>
        </w:rPr>
        <w:t>4.4.5.2围界应紧紧围绕改造或装修区域，原则上应不得超过建筑红线区域外沿</w:t>
      </w:r>
      <w:r>
        <w:rPr>
          <w:rFonts w:ascii="仿宋_GB2312" w:eastAsia="仿宋_GB2312"/>
          <w:color w:val="auto"/>
          <w:sz w:val="28"/>
          <w:szCs w:val="28"/>
        </w:rPr>
        <w:t>1</w:t>
      </w:r>
      <w:r>
        <w:rPr>
          <w:rFonts w:hint="eastAsia" w:ascii="仿宋_GB2312" w:eastAsia="仿宋_GB2312"/>
          <w:color w:val="auto"/>
          <w:sz w:val="28"/>
          <w:szCs w:val="28"/>
        </w:rPr>
        <w:t>50厘米设置。</w:t>
      </w:r>
    </w:p>
    <w:p>
      <w:pPr>
        <w:keepNext w:val="0"/>
        <w:keepLines w:val="0"/>
        <w:pageBreakBefore w:val="0"/>
        <w:widowControl w:val="0"/>
        <w:kinsoku/>
        <w:wordWrap/>
        <w:overflowPunct/>
        <w:topLinePunct w:val="0"/>
        <w:bidi w:val="0"/>
        <w:snapToGrid/>
        <w:spacing w:line="360" w:lineRule="exact"/>
        <w:ind w:left="0" w:leftChars="0" w:right="0" w:rightChars="0" w:firstLine="560" w:firstLineChars="200"/>
        <w:textAlignment w:val="auto"/>
        <w:outlineLvl w:val="9"/>
        <w:rPr>
          <w:rFonts w:ascii="仿宋_GB2312" w:eastAsia="仿宋_GB2312"/>
          <w:color w:val="auto"/>
          <w:spacing w:val="-10"/>
          <w:sz w:val="28"/>
          <w:szCs w:val="28"/>
        </w:rPr>
      </w:pPr>
      <w:r>
        <w:rPr>
          <w:rFonts w:hint="eastAsia" w:ascii="仿宋_GB2312" w:eastAsia="仿宋_GB2312"/>
          <w:color w:val="auto"/>
          <w:sz w:val="28"/>
          <w:szCs w:val="28"/>
        </w:rPr>
        <w:t>4.4.5.3</w:t>
      </w:r>
      <w:r>
        <w:rPr>
          <w:rFonts w:hint="eastAsia" w:ascii="仿宋_GB2312" w:eastAsia="仿宋_GB2312"/>
          <w:color w:val="auto"/>
          <w:spacing w:val="-10"/>
          <w:sz w:val="28"/>
          <w:szCs w:val="28"/>
        </w:rPr>
        <w:t>围界设置的高度为</w:t>
      </w:r>
      <w:r>
        <w:rPr>
          <w:rFonts w:ascii="仿宋_GB2312" w:eastAsia="仿宋_GB2312"/>
          <w:color w:val="auto"/>
          <w:spacing w:val="-10"/>
          <w:sz w:val="28"/>
          <w:szCs w:val="28"/>
        </w:rPr>
        <w:t>3</w:t>
      </w:r>
      <w:r>
        <w:rPr>
          <w:rFonts w:hint="eastAsia" w:ascii="仿宋_GB2312" w:eastAsia="仿宋_GB2312"/>
          <w:color w:val="auto"/>
          <w:spacing w:val="-10"/>
          <w:sz w:val="28"/>
          <w:szCs w:val="28"/>
        </w:rPr>
        <w:t>.5米，必要时应作顶部封闭。</w:t>
      </w:r>
    </w:p>
    <w:p>
      <w:pPr>
        <w:keepNext w:val="0"/>
        <w:keepLines w:val="0"/>
        <w:pageBreakBefore w:val="0"/>
        <w:widowControl w:val="0"/>
        <w:kinsoku/>
        <w:wordWrap/>
        <w:overflowPunct/>
        <w:topLinePunct w:val="0"/>
        <w:bidi w:val="0"/>
        <w:snapToGrid/>
        <w:spacing w:line="360" w:lineRule="exact"/>
        <w:ind w:left="0" w:leftChars="0" w:right="0" w:rightChars="0" w:firstLine="560" w:firstLineChars="200"/>
        <w:textAlignment w:val="auto"/>
        <w:outlineLvl w:val="9"/>
        <w:rPr>
          <w:rFonts w:ascii="仿宋_GB2312" w:eastAsia="仿宋_GB2312"/>
          <w:color w:val="auto"/>
          <w:spacing w:val="-10"/>
          <w:sz w:val="28"/>
          <w:szCs w:val="28"/>
        </w:rPr>
      </w:pPr>
      <w:r>
        <w:rPr>
          <w:rFonts w:hint="eastAsia" w:ascii="仿宋_GB2312" w:eastAsia="仿宋_GB2312"/>
          <w:color w:val="auto"/>
          <w:sz w:val="28"/>
          <w:szCs w:val="28"/>
        </w:rPr>
        <w:t>4.4.5.4</w:t>
      </w:r>
      <w:r>
        <w:rPr>
          <w:rFonts w:hint="eastAsia" w:ascii="仿宋_GB2312" w:eastAsia="仿宋_GB2312"/>
          <w:color w:val="auto"/>
          <w:spacing w:val="-10"/>
          <w:sz w:val="28"/>
          <w:szCs w:val="28"/>
        </w:rPr>
        <w:t xml:space="preserve">围界内物品的堆放高度不得超过围界顶部水平线。 </w:t>
      </w:r>
    </w:p>
    <w:p>
      <w:pPr>
        <w:keepNext w:val="0"/>
        <w:keepLines w:val="0"/>
        <w:pageBreakBefore w:val="0"/>
        <w:widowControl w:val="0"/>
        <w:kinsoku/>
        <w:wordWrap/>
        <w:overflowPunct/>
        <w:topLinePunct w:val="0"/>
        <w:bidi w:val="0"/>
        <w:snapToGrid/>
        <w:spacing w:line="360" w:lineRule="exact"/>
        <w:ind w:left="0" w:leftChars="0" w:right="0" w:rightChars="0" w:firstLine="560" w:firstLineChars="200"/>
        <w:textAlignment w:val="auto"/>
        <w:outlineLvl w:val="9"/>
        <w:rPr>
          <w:rFonts w:ascii="仿宋_GB2312" w:eastAsia="仿宋_GB2312"/>
          <w:color w:val="auto"/>
          <w:spacing w:val="-10"/>
          <w:sz w:val="28"/>
          <w:szCs w:val="28"/>
        </w:rPr>
      </w:pPr>
      <w:r>
        <w:rPr>
          <w:rFonts w:hint="eastAsia" w:ascii="仿宋_GB2312" w:eastAsia="仿宋_GB2312"/>
          <w:color w:val="auto"/>
          <w:sz w:val="28"/>
          <w:szCs w:val="28"/>
        </w:rPr>
        <w:t>4.4.5.5围界封闭（顶部除外）管理，围界进出口须装配门锁（门锁建议选用铜制4联密码锁，至少每周更换一次密码）。在施工期间由专人负责锁闭。在围界醒目位置应悬挂</w:t>
      </w:r>
      <w:r>
        <w:rPr>
          <w:rFonts w:hint="eastAsia" w:ascii="仿宋_GB2312" w:eastAsia="仿宋_GB2312"/>
          <w:color w:val="auto"/>
          <w:spacing w:val="-10"/>
          <w:sz w:val="28"/>
          <w:szCs w:val="28"/>
        </w:rPr>
        <w:t>宣传告示栏，注明项目名称、工期、责任人联系方式等内容。</w:t>
      </w:r>
    </w:p>
    <w:p>
      <w:pPr>
        <w:keepNext w:val="0"/>
        <w:keepLines w:val="0"/>
        <w:pageBreakBefore w:val="0"/>
        <w:widowControl w:val="0"/>
        <w:kinsoku/>
        <w:wordWrap/>
        <w:overflowPunct/>
        <w:topLinePunct w:val="0"/>
        <w:bidi w:val="0"/>
        <w:snapToGrid/>
        <w:spacing w:line="360" w:lineRule="exact"/>
        <w:ind w:left="0" w:leftChars="0" w:right="0" w:rightChars="0" w:firstLine="560" w:firstLineChars="200"/>
        <w:textAlignment w:val="auto"/>
        <w:outlineLvl w:val="9"/>
        <w:rPr>
          <w:rFonts w:ascii="仿宋_GB2312" w:eastAsia="仿宋_GB2312"/>
          <w:color w:val="auto"/>
          <w:sz w:val="28"/>
          <w:szCs w:val="28"/>
        </w:rPr>
      </w:pPr>
      <w:r>
        <w:rPr>
          <w:rFonts w:hint="eastAsia" w:ascii="仿宋_GB2312" w:eastAsia="仿宋_GB2312"/>
          <w:color w:val="auto"/>
          <w:sz w:val="28"/>
          <w:szCs w:val="28"/>
        </w:rPr>
        <w:t>4.4.6立式框架式临时围界的设置</w:t>
      </w:r>
    </w:p>
    <w:p>
      <w:pPr>
        <w:keepNext w:val="0"/>
        <w:keepLines w:val="0"/>
        <w:pageBreakBefore w:val="0"/>
        <w:widowControl w:val="0"/>
        <w:kinsoku/>
        <w:wordWrap/>
        <w:overflowPunct/>
        <w:topLinePunct w:val="0"/>
        <w:bidi w:val="0"/>
        <w:snapToGrid/>
        <w:spacing w:line="360" w:lineRule="exact"/>
        <w:ind w:left="0" w:leftChars="0" w:right="0" w:rightChars="0" w:firstLine="560" w:firstLineChars="200"/>
        <w:textAlignment w:val="auto"/>
        <w:outlineLvl w:val="9"/>
        <w:rPr>
          <w:rFonts w:ascii="仿宋_GB2312" w:eastAsia="仿宋_GB2312"/>
          <w:color w:val="auto"/>
          <w:spacing w:val="-10"/>
          <w:sz w:val="28"/>
          <w:szCs w:val="28"/>
        </w:rPr>
      </w:pPr>
      <w:r>
        <w:rPr>
          <w:rFonts w:hint="eastAsia" w:ascii="仿宋_GB2312" w:eastAsia="仿宋_GB2312"/>
          <w:color w:val="auto"/>
          <w:sz w:val="28"/>
          <w:szCs w:val="28"/>
        </w:rPr>
        <w:t>4.4.6.1</w:t>
      </w:r>
      <w:r>
        <w:rPr>
          <w:rFonts w:hint="eastAsia" w:ascii="仿宋_GB2312" w:eastAsia="仿宋_GB2312"/>
          <w:color w:val="auto"/>
          <w:spacing w:val="-10"/>
          <w:sz w:val="28"/>
          <w:szCs w:val="28"/>
        </w:rPr>
        <w:t>围界应紧紧围绕维修区域或维护的设施设备放置。</w:t>
      </w:r>
    </w:p>
    <w:p>
      <w:pPr>
        <w:keepNext w:val="0"/>
        <w:keepLines w:val="0"/>
        <w:pageBreakBefore w:val="0"/>
        <w:widowControl w:val="0"/>
        <w:kinsoku/>
        <w:wordWrap/>
        <w:overflowPunct/>
        <w:topLinePunct w:val="0"/>
        <w:bidi w:val="0"/>
        <w:snapToGrid/>
        <w:spacing w:line="360" w:lineRule="exact"/>
        <w:ind w:left="0" w:leftChars="0" w:right="0" w:rightChars="0" w:firstLine="560" w:firstLineChars="200"/>
        <w:textAlignment w:val="auto"/>
        <w:outlineLvl w:val="9"/>
        <w:rPr>
          <w:rFonts w:ascii="仿宋_GB2312" w:eastAsia="仿宋_GB2312"/>
          <w:color w:val="auto"/>
          <w:sz w:val="28"/>
          <w:szCs w:val="28"/>
        </w:rPr>
      </w:pPr>
      <w:r>
        <w:rPr>
          <w:rFonts w:hint="eastAsia" w:ascii="仿宋_GB2312" w:eastAsia="仿宋_GB2312"/>
          <w:color w:val="auto"/>
          <w:sz w:val="28"/>
          <w:szCs w:val="28"/>
        </w:rPr>
        <w:t>4.4.6.2围界放置不得遮挡标示标牌、功能性设施，不得阻碍旅客流程，如无法避免应设置醒目标识或派遣专人进行引导。</w:t>
      </w:r>
    </w:p>
    <w:p>
      <w:pPr>
        <w:keepNext w:val="0"/>
        <w:keepLines w:val="0"/>
        <w:pageBreakBefore w:val="0"/>
        <w:widowControl w:val="0"/>
        <w:kinsoku/>
        <w:wordWrap/>
        <w:overflowPunct/>
        <w:topLinePunct w:val="0"/>
        <w:bidi w:val="0"/>
        <w:snapToGrid/>
        <w:spacing w:line="360" w:lineRule="exact"/>
        <w:ind w:left="0" w:leftChars="0" w:right="0" w:rightChars="0" w:firstLine="560" w:firstLineChars="200"/>
        <w:textAlignment w:val="auto"/>
        <w:outlineLvl w:val="9"/>
        <w:rPr>
          <w:rFonts w:ascii="仿宋_GB2312" w:eastAsia="仿宋_GB2312"/>
          <w:color w:val="auto"/>
          <w:sz w:val="28"/>
          <w:szCs w:val="28"/>
        </w:rPr>
      </w:pPr>
      <w:r>
        <w:rPr>
          <w:rFonts w:hint="eastAsia" w:ascii="仿宋_GB2312" w:eastAsia="仿宋_GB2312"/>
          <w:color w:val="auto"/>
          <w:sz w:val="28"/>
          <w:szCs w:val="28"/>
        </w:rPr>
        <w:t>4.4.7链式临时围界的设置</w:t>
      </w:r>
    </w:p>
    <w:p>
      <w:pPr>
        <w:keepNext w:val="0"/>
        <w:keepLines w:val="0"/>
        <w:pageBreakBefore w:val="0"/>
        <w:widowControl w:val="0"/>
        <w:kinsoku/>
        <w:wordWrap/>
        <w:overflowPunct/>
        <w:topLinePunct w:val="0"/>
        <w:bidi w:val="0"/>
        <w:snapToGrid/>
        <w:spacing w:line="360" w:lineRule="exact"/>
        <w:ind w:left="0" w:leftChars="0" w:right="0" w:rightChars="0" w:firstLine="560" w:firstLineChars="200"/>
        <w:textAlignment w:val="auto"/>
        <w:outlineLvl w:val="9"/>
        <w:rPr>
          <w:rFonts w:ascii="仿宋_GB2312" w:eastAsia="仿宋_GB2312"/>
          <w:color w:val="auto"/>
          <w:sz w:val="28"/>
          <w:szCs w:val="28"/>
        </w:rPr>
      </w:pPr>
      <w:r>
        <w:rPr>
          <w:rFonts w:hint="eastAsia" w:ascii="仿宋_GB2312" w:eastAsia="仿宋_GB2312"/>
          <w:color w:val="auto"/>
          <w:sz w:val="28"/>
          <w:szCs w:val="28"/>
        </w:rPr>
        <w:t>4.4.7.1围界应根据施工、活动实际需求进行设置，不得阻碍旅客流程，施工、活动结束后，应立即撤除。</w:t>
      </w:r>
    </w:p>
    <w:p>
      <w:pPr>
        <w:keepNext w:val="0"/>
        <w:keepLines w:val="0"/>
        <w:pageBreakBefore w:val="0"/>
        <w:widowControl w:val="0"/>
        <w:kinsoku/>
        <w:wordWrap/>
        <w:overflowPunct/>
        <w:topLinePunct w:val="0"/>
        <w:bidi w:val="0"/>
        <w:snapToGrid/>
        <w:spacing w:line="360" w:lineRule="exact"/>
        <w:ind w:left="0" w:leftChars="0" w:right="0" w:rightChars="0" w:firstLine="560" w:firstLineChars="200"/>
        <w:textAlignment w:val="auto"/>
        <w:outlineLvl w:val="9"/>
        <w:rPr>
          <w:rFonts w:ascii="仿宋_GB2312" w:eastAsia="仿宋_GB2312"/>
          <w:color w:val="auto"/>
          <w:sz w:val="28"/>
          <w:szCs w:val="28"/>
        </w:rPr>
      </w:pPr>
      <w:r>
        <w:rPr>
          <w:rFonts w:ascii="仿宋_GB2312" w:eastAsia="仿宋_GB2312"/>
          <w:color w:val="auto"/>
          <w:sz w:val="28"/>
          <w:szCs w:val="28"/>
        </w:rPr>
        <w:t>4.4.7.2</w:t>
      </w:r>
      <w:r>
        <w:rPr>
          <w:rFonts w:hint="eastAsia" w:ascii="仿宋_GB2312" w:eastAsia="仿宋_GB2312"/>
          <w:color w:val="auto"/>
          <w:sz w:val="28"/>
          <w:szCs w:val="28"/>
        </w:rPr>
        <w:t>链式临时围界设置时，应将固定方锥摆放整齐，四边通过链条连接封闭，链条应保持悬空，多余部分需塞入方锥内侧，同时应在醒目位置放置施工、活动提示标识。</w:t>
      </w:r>
    </w:p>
    <w:p>
      <w:pPr>
        <w:keepNext w:val="0"/>
        <w:keepLines w:val="0"/>
        <w:pageBreakBefore w:val="0"/>
        <w:widowControl w:val="0"/>
        <w:kinsoku/>
        <w:wordWrap/>
        <w:overflowPunct/>
        <w:topLinePunct w:val="0"/>
        <w:bidi w:val="0"/>
        <w:snapToGrid/>
        <w:spacing w:line="360" w:lineRule="exact"/>
        <w:ind w:left="0" w:leftChars="0" w:right="0" w:rightChars="0" w:firstLine="560" w:firstLineChars="200"/>
        <w:textAlignment w:val="auto"/>
        <w:outlineLvl w:val="9"/>
        <w:rPr>
          <w:rFonts w:ascii="仿宋_GB2312" w:eastAsia="仿宋_GB2312"/>
          <w:color w:val="auto"/>
          <w:sz w:val="28"/>
          <w:szCs w:val="28"/>
        </w:rPr>
      </w:pPr>
      <w:r>
        <w:rPr>
          <w:rFonts w:hint="eastAsia" w:ascii="仿宋_GB2312" w:eastAsia="仿宋_GB2312"/>
          <w:color w:val="auto"/>
          <w:sz w:val="28"/>
          <w:szCs w:val="28"/>
        </w:rPr>
        <w:t>4.4.8隔离护栏式围界的设置</w:t>
      </w:r>
    </w:p>
    <w:p>
      <w:pPr>
        <w:keepNext w:val="0"/>
        <w:keepLines w:val="0"/>
        <w:pageBreakBefore w:val="0"/>
        <w:widowControl w:val="0"/>
        <w:kinsoku/>
        <w:wordWrap/>
        <w:overflowPunct/>
        <w:topLinePunct w:val="0"/>
        <w:bidi w:val="0"/>
        <w:snapToGrid/>
        <w:spacing w:line="360" w:lineRule="exact"/>
        <w:ind w:left="0" w:leftChars="0" w:right="0" w:rightChars="0" w:firstLine="560" w:firstLineChars="200"/>
        <w:textAlignment w:val="auto"/>
        <w:outlineLvl w:val="9"/>
        <w:rPr>
          <w:rFonts w:ascii="仿宋_GB2312" w:eastAsia="仿宋_GB2312"/>
          <w:color w:val="auto"/>
          <w:sz w:val="28"/>
          <w:szCs w:val="28"/>
        </w:rPr>
      </w:pPr>
      <w:r>
        <w:rPr>
          <w:rFonts w:hint="eastAsia" w:ascii="仿宋_GB2312" w:eastAsia="仿宋_GB2312"/>
          <w:color w:val="auto"/>
          <w:sz w:val="28"/>
          <w:szCs w:val="28"/>
        </w:rPr>
        <w:t>4.4.8.1参照《航站楼隔离护栏管理标准》执行。</w:t>
      </w:r>
    </w:p>
    <w:p>
      <w:pPr>
        <w:keepNext w:val="0"/>
        <w:keepLines w:val="0"/>
        <w:pageBreakBefore w:val="0"/>
        <w:widowControl w:val="0"/>
        <w:kinsoku/>
        <w:wordWrap/>
        <w:overflowPunct/>
        <w:topLinePunct w:val="0"/>
        <w:bidi w:val="0"/>
        <w:snapToGrid/>
        <w:spacing w:line="360" w:lineRule="exact"/>
        <w:ind w:left="0" w:leftChars="0" w:right="0" w:rightChars="0" w:firstLine="560" w:firstLineChars="200"/>
        <w:textAlignment w:val="auto"/>
        <w:outlineLvl w:val="9"/>
        <w:rPr>
          <w:rFonts w:ascii="仿宋_GB2312" w:eastAsia="仿宋_GB2312"/>
          <w:color w:val="auto"/>
          <w:sz w:val="28"/>
          <w:szCs w:val="28"/>
        </w:rPr>
      </w:pPr>
      <w:r>
        <w:rPr>
          <w:rFonts w:ascii="仿宋_GB2312" w:eastAsia="仿宋_GB2312"/>
          <w:color w:val="auto"/>
          <w:sz w:val="28"/>
          <w:szCs w:val="28"/>
        </w:rPr>
        <w:t>4.5</w:t>
      </w:r>
      <w:r>
        <w:rPr>
          <w:rFonts w:hint="eastAsia" w:ascii="仿宋_GB2312" w:eastAsia="仿宋_GB2312"/>
          <w:color w:val="auto"/>
          <w:sz w:val="28"/>
          <w:szCs w:val="28"/>
        </w:rPr>
        <w:t>围界的撤除</w:t>
      </w:r>
    </w:p>
    <w:p>
      <w:pPr>
        <w:keepNext w:val="0"/>
        <w:keepLines w:val="0"/>
        <w:pageBreakBefore w:val="0"/>
        <w:widowControl w:val="0"/>
        <w:kinsoku/>
        <w:wordWrap/>
        <w:overflowPunct/>
        <w:topLinePunct w:val="0"/>
        <w:bidi w:val="0"/>
        <w:snapToGrid/>
        <w:spacing w:line="360" w:lineRule="exact"/>
        <w:ind w:left="0" w:leftChars="0" w:right="0" w:rightChars="0" w:firstLine="560" w:firstLineChars="200"/>
        <w:textAlignment w:val="auto"/>
        <w:outlineLvl w:val="9"/>
        <w:rPr>
          <w:rFonts w:ascii="仿宋_GB2312" w:eastAsia="仿宋_GB2312"/>
          <w:color w:val="auto"/>
          <w:sz w:val="28"/>
          <w:szCs w:val="28"/>
        </w:rPr>
      </w:pPr>
      <w:r>
        <w:rPr>
          <w:rFonts w:ascii="仿宋_GB2312" w:eastAsia="仿宋_GB2312"/>
          <w:color w:val="auto"/>
          <w:sz w:val="28"/>
          <w:szCs w:val="28"/>
        </w:rPr>
        <w:t>4.5.1</w:t>
      </w:r>
      <w:r>
        <w:rPr>
          <w:rFonts w:hint="eastAsia" w:ascii="仿宋_GB2312" w:eastAsia="仿宋_GB2312"/>
          <w:color w:val="auto"/>
          <w:sz w:val="28"/>
          <w:szCs w:val="28"/>
        </w:rPr>
        <w:t>施工、活动组织单位在区域使用结束后，应在施工工具、物料、活动设施全部撤离，清理施工垃圾，恢复区域原状后，撤除围界。</w:t>
      </w:r>
    </w:p>
    <w:p>
      <w:pPr>
        <w:keepNext w:val="0"/>
        <w:keepLines w:val="0"/>
        <w:pageBreakBefore w:val="0"/>
        <w:widowControl w:val="0"/>
        <w:kinsoku/>
        <w:wordWrap/>
        <w:overflowPunct/>
        <w:topLinePunct w:val="0"/>
        <w:bidi w:val="0"/>
        <w:snapToGrid/>
        <w:spacing w:line="360" w:lineRule="exact"/>
        <w:ind w:left="0" w:leftChars="0" w:right="0" w:rightChars="0" w:firstLine="560" w:firstLineChars="200"/>
        <w:textAlignment w:val="auto"/>
        <w:outlineLvl w:val="9"/>
        <w:rPr>
          <w:rFonts w:ascii="仿宋_GB2312" w:eastAsia="仿宋_GB2312"/>
          <w:color w:val="auto"/>
          <w:sz w:val="28"/>
          <w:szCs w:val="28"/>
        </w:rPr>
      </w:pPr>
      <w:r>
        <w:rPr>
          <w:rFonts w:ascii="仿宋_GB2312" w:eastAsia="仿宋_GB2312"/>
          <w:color w:val="auto"/>
          <w:sz w:val="28"/>
          <w:szCs w:val="28"/>
        </w:rPr>
        <w:t>4.5.2</w:t>
      </w:r>
      <w:r>
        <w:rPr>
          <w:rFonts w:hint="eastAsia" w:ascii="仿宋_GB2312" w:eastAsia="仿宋_GB2312"/>
          <w:color w:val="auto"/>
          <w:sz w:val="28"/>
          <w:szCs w:val="28"/>
        </w:rPr>
        <w:t>大型板材围界使用结束后，由建设单位负责拆除，不准随意丢弃在航站楼内。</w:t>
      </w:r>
    </w:p>
    <w:p>
      <w:pPr>
        <w:keepNext w:val="0"/>
        <w:keepLines w:val="0"/>
        <w:pageBreakBefore w:val="0"/>
        <w:widowControl w:val="0"/>
        <w:kinsoku/>
        <w:wordWrap/>
        <w:overflowPunct/>
        <w:topLinePunct w:val="0"/>
        <w:bidi w:val="0"/>
        <w:snapToGrid/>
        <w:spacing w:line="360" w:lineRule="exact"/>
        <w:ind w:left="0" w:leftChars="0" w:right="0" w:rightChars="0" w:firstLine="560" w:firstLineChars="200"/>
        <w:textAlignment w:val="auto"/>
        <w:outlineLvl w:val="9"/>
        <w:rPr>
          <w:rFonts w:ascii="仿宋_GB2312" w:eastAsia="仿宋_GB2312"/>
          <w:color w:val="auto"/>
          <w:sz w:val="28"/>
          <w:szCs w:val="28"/>
        </w:rPr>
      </w:pPr>
      <w:r>
        <w:rPr>
          <w:rFonts w:hint="eastAsia" w:ascii="仿宋_GB2312" w:eastAsia="仿宋_GB2312"/>
          <w:color w:val="auto"/>
          <w:sz w:val="28"/>
          <w:szCs w:val="28"/>
        </w:rPr>
        <w:t>4.5.3立式框架式临时围界和链式临时围界使用结束后，由施工、活动组织单位带离，自行保存。</w:t>
      </w:r>
    </w:p>
    <w:p>
      <w:pPr>
        <w:keepNext w:val="0"/>
        <w:keepLines w:val="0"/>
        <w:pageBreakBefore w:val="0"/>
        <w:widowControl w:val="0"/>
        <w:kinsoku/>
        <w:wordWrap/>
        <w:overflowPunct/>
        <w:topLinePunct w:val="0"/>
        <w:bidi w:val="0"/>
        <w:snapToGrid/>
        <w:spacing w:line="360" w:lineRule="exact"/>
        <w:ind w:left="0" w:leftChars="0" w:right="0" w:rightChars="0" w:firstLine="560" w:firstLineChars="200"/>
        <w:textAlignment w:val="auto"/>
        <w:outlineLvl w:val="9"/>
        <w:rPr>
          <w:rFonts w:ascii="仿宋_GB2312" w:eastAsia="仿宋_GB2312"/>
          <w:color w:val="auto"/>
          <w:sz w:val="28"/>
          <w:szCs w:val="28"/>
        </w:rPr>
      </w:pPr>
      <w:r>
        <w:rPr>
          <w:rFonts w:ascii="仿宋_GB2312" w:eastAsia="仿宋_GB2312"/>
          <w:color w:val="auto"/>
          <w:sz w:val="28"/>
          <w:szCs w:val="28"/>
        </w:rPr>
        <w:t>4.5.4</w:t>
      </w:r>
      <w:r>
        <w:rPr>
          <w:rFonts w:hint="eastAsia" w:ascii="仿宋_GB2312" w:eastAsia="仿宋_GB2312"/>
          <w:color w:val="auto"/>
          <w:sz w:val="28"/>
          <w:szCs w:val="28"/>
        </w:rPr>
        <w:t>隔离护栏式围界使用结束后，由施工、活动组织单位向航站区管理中心清点交接，确定围界完好状况及数量后，存放至规定场所并做好记录。</w:t>
      </w:r>
    </w:p>
    <w:p>
      <w:pPr>
        <w:keepNext w:val="0"/>
        <w:keepLines w:val="0"/>
        <w:pageBreakBefore w:val="0"/>
        <w:widowControl w:val="0"/>
        <w:kinsoku/>
        <w:wordWrap/>
        <w:overflowPunct/>
        <w:topLinePunct w:val="0"/>
        <w:bidi w:val="0"/>
        <w:snapToGrid/>
        <w:spacing w:line="360" w:lineRule="exact"/>
        <w:ind w:left="0" w:leftChars="0" w:right="0" w:rightChars="0" w:firstLine="560" w:firstLineChars="200"/>
        <w:textAlignment w:val="auto"/>
        <w:outlineLvl w:val="9"/>
        <w:rPr>
          <w:rFonts w:ascii="仿宋_GB2312" w:eastAsia="仿宋_GB2312"/>
          <w:color w:val="auto"/>
          <w:sz w:val="28"/>
          <w:szCs w:val="28"/>
        </w:rPr>
      </w:pPr>
      <w:r>
        <w:rPr>
          <w:rFonts w:ascii="仿宋_GB2312" w:eastAsia="仿宋_GB2312"/>
          <w:color w:val="auto"/>
          <w:sz w:val="28"/>
          <w:szCs w:val="28"/>
        </w:rPr>
        <w:t>5</w:t>
      </w:r>
      <w:r>
        <w:rPr>
          <w:rFonts w:hint="eastAsia" w:ascii="仿宋_GB2312" w:eastAsia="仿宋_GB2312"/>
          <w:color w:val="auto"/>
          <w:sz w:val="28"/>
          <w:szCs w:val="28"/>
        </w:rPr>
        <w:t>、如违反本制度之规定的，按照《杭州萧山国际机场航站楼施工管理规定》有关规定执行。</w:t>
      </w:r>
    </w:p>
    <w:p>
      <w:pPr>
        <w:keepNext w:val="0"/>
        <w:keepLines w:val="0"/>
        <w:pageBreakBefore w:val="0"/>
        <w:widowControl w:val="0"/>
        <w:kinsoku/>
        <w:wordWrap/>
        <w:overflowPunct/>
        <w:topLinePunct w:val="0"/>
        <w:bidi w:val="0"/>
        <w:snapToGrid/>
        <w:spacing w:line="360" w:lineRule="exact"/>
        <w:ind w:left="0" w:leftChars="0" w:right="0" w:rightChars="0" w:firstLine="560" w:firstLineChars="200"/>
        <w:textAlignment w:val="auto"/>
        <w:outlineLvl w:val="9"/>
        <w:rPr>
          <w:rFonts w:ascii="仿宋_GB2312" w:eastAsia="仿宋_GB2312"/>
          <w:color w:val="auto"/>
          <w:sz w:val="28"/>
          <w:szCs w:val="28"/>
        </w:rPr>
      </w:pPr>
      <w:r>
        <w:rPr>
          <w:rFonts w:hint="eastAsia" w:ascii="仿宋_GB2312" w:eastAsia="仿宋_GB2312"/>
          <w:color w:val="auto"/>
          <w:sz w:val="28"/>
          <w:szCs w:val="28"/>
        </w:rPr>
        <w:t>6、围界一般类型样图</w:t>
      </w:r>
    </w:p>
    <w:p>
      <w:pPr>
        <w:keepNext w:val="0"/>
        <w:keepLines w:val="0"/>
        <w:pageBreakBefore w:val="0"/>
        <w:widowControl w:val="0"/>
        <w:kinsoku/>
        <w:wordWrap/>
        <w:overflowPunct/>
        <w:topLinePunct w:val="0"/>
        <w:bidi w:val="0"/>
        <w:snapToGrid/>
        <w:spacing w:line="360" w:lineRule="exact"/>
        <w:ind w:left="0" w:leftChars="0" w:right="0" w:rightChars="0"/>
        <w:textAlignment w:val="auto"/>
        <w:outlineLvl w:val="9"/>
        <w:rPr>
          <w:rFonts w:ascii="仿宋_GB2312" w:eastAsia="仿宋_GB2312"/>
          <w:color w:val="auto"/>
          <w:sz w:val="30"/>
          <w:szCs w:val="30"/>
        </w:rPr>
      </w:pPr>
      <w:r>
        <w:rPr>
          <w:color w:val="auto"/>
        </w:rPr>
        <w:drawing>
          <wp:anchor distT="0" distB="0" distL="114300" distR="114300" simplePos="0" relativeHeight="251663360" behindDoc="0" locked="0" layoutInCell="1" allowOverlap="0">
            <wp:simplePos x="0" y="0"/>
            <wp:positionH relativeFrom="column">
              <wp:posOffset>67310</wp:posOffset>
            </wp:positionH>
            <wp:positionV relativeFrom="paragraph">
              <wp:posOffset>195580</wp:posOffset>
            </wp:positionV>
            <wp:extent cx="5286375" cy="1781810"/>
            <wp:effectExtent l="0" t="0" r="9525" b="8890"/>
            <wp:wrapTopAndBottom/>
            <wp:docPr id="1" name="图片 10" descr="说明: 微信图片_20180730135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descr="说明: 微信图片_20180730135152.jpg"/>
                    <pic:cNvPicPr>
                      <a:picLocks noChangeAspect="1"/>
                    </pic:cNvPicPr>
                  </pic:nvPicPr>
                  <pic:blipFill>
                    <a:blip r:embed="rId13"/>
                    <a:stretch>
                      <a:fillRect/>
                    </a:stretch>
                  </pic:blipFill>
                  <pic:spPr>
                    <a:xfrm>
                      <a:off x="0" y="0"/>
                      <a:ext cx="5286375" cy="1781810"/>
                    </a:xfrm>
                    <a:prstGeom prst="rect">
                      <a:avLst/>
                    </a:prstGeom>
                    <a:noFill/>
                    <a:ln w="9525">
                      <a:noFill/>
                    </a:ln>
                  </pic:spPr>
                </pic:pic>
              </a:graphicData>
            </a:graphic>
          </wp:anchor>
        </w:drawing>
      </w:r>
    </w:p>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rightChars="0"/>
        <w:jc w:val="center"/>
        <w:textAlignment w:val="auto"/>
        <w:outlineLvl w:val="9"/>
        <w:rPr>
          <w:b/>
          <w:color w:val="auto"/>
          <w:sz w:val="24"/>
        </w:rPr>
      </w:pPr>
    </w:p>
    <w:p/>
    <w:sectPr>
      <w:footerReference r:id="rId11" w:type="first"/>
      <w:headerReference r:id="rId9" w:type="default"/>
      <w:footerReference r:id="rId10" w:type="default"/>
      <w:pgSz w:w="11906" w:h="16838"/>
      <w:pgMar w:top="1440" w:right="1800" w:bottom="1440" w:left="180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2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4002EFF" w:usb1="C200247B" w:usb2="00000009" w:usb3="00000000" w:csb0="200001FF" w:csb1="00000000"/>
  </w:font>
  <w:font w:name="楷体">
    <w:panose1 w:val="02010609060101010101"/>
    <w:charset w:val="86"/>
    <w:family w:val="auto"/>
    <w:pitch w:val="default"/>
    <w:sig w:usb0="800002BF" w:usb1="38CF7CFA" w:usb2="00000016" w:usb3="00000000" w:csb0="00040001" w:csb1="00000000"/>
  </w:font>
  <w:font w:name="TimesNewRomanPSMT">
    <w:altName w:val="Times New Roman"/>
    <w:panose1 w:val="02020603050405020304"/>
    <w:charset w:val="00"/>
    <w:family w:val="roman"/>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方正仿宋简体">
    <w:altName w:val="宋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w:t>
    </w:r>
    <w:r>
      <w:t xml:space="preserve"> 68 -</w:t>
    </w:r>
    <w:r>
      <w:fldChar w:fldCharType="end"/>
    </w:r>
  </w:p>
  <w:p>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- 4 -</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- 4 -</w:t>
                    </w:r>
                    <w:r>
                      <w:rPr>
                        <w:rFonts w:hint="eastAsia"/>
                        <w:sz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center"/>
                          </w:pPr>
                          <w:r>
                            <w:fldChar w:fldCharType="begin"/>
                          </w:r>
                          <w:r>
                            <w:instrText xml:space="preserve"> PAGE   \* MERGEFORMAT </w:instrText>
                          </w:r>
                          <w:r>
                            <w:fldChar w:fldCharType="separate"/>
                          </w:r>
                          <w:r>
                            <w:rPr>
                              <w:lang w:val="zh-CN"/>
                            </w:rPr>
                            <w:t>-</w:t>
                          </w:r>
                          <w:r>
                            <w:t xml:space="preserve"> 47 -</w:t>
                          </w:r>
                          <w:r>
                            <w:fldChar w:fldCharType="end"/>
                          </w:r>
                        </w:p>
                        <w:p>
                          <w:pPr>
                            <w:pStyle w:val="2"/>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6"/>
                      <w:jc w:val="center"/>
                    </w:pPr>
                    <w:r>
                      <w:fldChar w:fldCharType="begin"/>
                    </w:r>
                    <w:r>
                      <w:instrText xml:space="preserve"> PAGE   \* MERGEFORMAT </w:instrText>
                    </w:r>
                    <w:r>
                      <w:fldChar w:fldCharType="separate"/>
                    </w:r>
                    <w:r>
                      <w:rPr>
                        <w:lang w:val="zh-CN"/>
                      </w:rPr>
                      <w:t>-</w:t>
                    </w:r>
                    <w:r>
                      <w:t xml:space="preserve"> 47 -</w:t>
                    </w:r>
                    <w:r>
                      <w:fldChar w:fldCharType="end"/>
                    </w:r>
                  </w:p>
                  <w:p>
                    <w:pPr>
                      <w:pStyle w:val="2"/>
                    </w:pPr>
                  </w:p>
                </w:txbxContent>
              </v:textbox>
            </v:shape>
          </w:pict>
        </mc:Fallback>
      </mc:AlternateContent>
    </w:r>
  </w:p>
  <w:p>
    <w:pPr>
      <w:pStyle w:val="6"/>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center"/>
                          </w:pPr>
                          <w:r>
                            <w:fldChar w:fldCharType="begin"/>
                          </w:r>
                          <w:r>
                            <w:instrText xml:space="preserve">PAGE   \* MERGEFORMAT</w:instrText>
                          </w:r>
                          <w:r>
                            <w:fldChar w:fldCharType="separate"/>
                          </w:r>
                          <w:r>
                            <w:rPr>
                              <w:lang w:val="zh-CN"/>
                            </w:rPr>
                            <w:t>61</w:t>
                          </w:r>
                          <w:r>
                            <w:rPr>
                              <w:lang w:val="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LOYfwO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&#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ss5h/A4CAAAJBAAADgAAAAAAAAABACAAAAAf&#10;AQAAZHJzL2Uyb0RvYy54bWxQSwUGAAAAAAYABgBZAQAAnwUAAAAA&#10;">
              <v:fill on="f" focussize="0,0"/>
              <v:stroke on="f" weight="0.5pt"/>
              <v:imagedata o:title=""/>
              <o:lock v:ext="edit" aspectratio="f"/>
              <v:textbox inset="0mm,0mm,0mm,0mm" style="mso-fit-shape-to-text:t;">
                <w:txbxContent>
                  <w:p>
                    <w:pPr>
                      <w:pStyle w:val="6"/>
                      <w:jc w:val="center"/>
                    </w:pPr>
                    <w:r>
                      <w:fldChar w:fldCharType="begin"/>
                    </w:r>
                    <w:r>
                      <w:instrText xml:space="preserve">PAGE   \* MERGEFORMAT</w:instrText>
                    </w:r>
                    <w:r>
                      <w:fldChar w:fldCharType="separate"/>
                    </w:r>
                    <w:r>
                      <w:rPr>
                        <w:lang w:val="zh-CN"/>
                      </w:rPr>
                      <w:t>61</w:t>
                    </w:r>
                    <w:r>
                      <w:rPr>
                        <w:lang w:val="zh-CN"/>
                      </w:rPr>
                      <w:fldChar w:fldCharType="end"/>
                    </w:r>
                  </w:p>
                </w:txbxContent>
              </v:textbox>
            </v:shape>
          </w:pict>
        </mc:Fallback>
      </mc:AlternateContent>
    </w:r>
  </w:p>
  <w:p>
    <w:pPr>
      <w:pStyle w:val="6"/>
      <w:ind w:firstLine="18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40</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7744"/>
    <w:multiLevelType w:val="multilevel"/>
    <w:tmpl w:val="05ED7744"/>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1">
    <w:nsid w:val="54132C69"/>
    <w:multiLevelType w:val="singleLevel"/>
    <w:tmpl w:val="54132C69"/>
    <w:lvl w:ilvl="0" w:tentative="0">
      <w:start w:val="1"/>
      <w:numFmt w:val="decimal"/>
      <w:suff w:val="nothing"/>
      <w:lvlText w:val="%1．"/>
      <w:lvlJc w:val="left"/>
    </w:lvl>
  </w:abstractNum>
  <w:abstractNum w:abstractNumId="2">
    <w:nsid w:val="5D75C5AD"/>
    <w:multiLevelType w:val="singleLevel"/>
    <w:tmpl w:val="5D75C5AD"/>
    <w:lvl w:ilvl="0" w:tentative="0">
      <w:start w:val="1"/>
      <w:numFmt w:val="decimal"/>
      <w:suff w:val="nothing"/>
      <w:lvlText w:val="（%1）"/>
      <w:lvlJc w:val="left"/>
    </w:lvl>
  </w:abstractNum>
  <w:abstractNum w:abstractNumId="3">
    <w:nsid w:val="636C52E6"/>
    <w:multiLevelType w:val="singleLevel"/>
    <w:tmpl w:val="636C52E6"/>
    <w:lvl w:ilvl="0" w:tentative="0">
      <w:start w:val="1"/>
      <w:numFmt w:val="decimal"/>
      <w:suff w:val="nothing"/>
      <w:lvlText w:val="(%1)"/>
      <w:lvlJc w:val="left"/>
    </w:lvl>
  </w:abstractNum>
  <w:abstractNum w:abstractNumId="4">
    <w:nsid w:val="649FCD82"/>
    <w:multiLevelType w:val="singleLevel"/>
    <w:tmpl w:val="649FCD82"/>
    <w:lvl w:ilvl="0" w:tentative="0">
      <w:start w:val="1"/>
      <w:numFmt w:val="decimal"/>
      <w:suff w:val="nothing"/>
      <w:lvlText w:val="（%1）"/>
      <w:lvlJc w:val="left"/>
    </w:lvl>
  </w:abstractNum>
  <w:abstractNum w:abstractNumId="5">
    <w:nsid w:val="649FCE99"/>
    <w:multiLevelType w:val="singleLevel"/>
    <w:tmpl w:val="649FCE99"/>
    <w:lvl w:ilvl="0" w:tentative="0">
      <w:start w:val="1"/>
      <w:numFmt w:val="decimal"/>
      <w:suff w:val="nothing"/>
      <w:lvlText w:val="（%1）"/>
      <w:lvlJc w:val="left"/>
    </w:lvl>
  </w:abstractNum>
  <w:abstractNum w:abstractNumId="6">
    <w:nsid w:val="64ACB606"/>
    <w:multiLevelType w:val="singleLevel"/>
    <w:tmpl w:val="64ACB606"/>
    <w:lvl w:ilvl="0" w:tentative="0">
      <w:start w:val="4"/>
      <w:numFmt w:val="chineseCounting"/>
      <w:suff w:val="space"/>
      <w:lvlText w:val="第%1章"/>
      <w:lvlJc w:val="left"/>
    </w:lvl>
  </w:abstractNum>
  <w:abstractNum w:abstractNumId="7">
    <w:nsid w:val="67839068"/>
    <w:multiLevelType w:val="singleLevel"/>
    <w:tmpl w:val="67839068"/>
    <w:lvl w:ilvl="0" w:tentative="0">
      <w:start w:val="1"/>
      <w:numFmt w:val="chineseCounting"/>
      <w:suff w:val="nothing"/>
      <w:lvlText w:val="%1、"/>
      <w:lvlJc w:val="left"/>
      <w:rPr>
        <w:rFonts w:hint="eastAsia"/>
      </w:rPr>
    </w:lvl>
  </w:abstractNum>
  <w:num w:numId="1">
    <w:abstractNumId w:val="2"/>
  </w:num>
  <w:num w:numId="2">
    <w:abstractNumId w:val="4"/>
  </w:num>
  <w:num w:numId="3">
    <w:abstractNumId w:val="5"/>
  </w:num>
  <w:num w:numId="4">
    <w:abstractNumId w:val="1"/>
  </w:num>
  <w:num w:numId="5">
    <w:abstractNumId w:val="7"/>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6B2AA7"/>
    <w:rsid w:val="5E9A5C3D"/>
    <w:rsid w:val="7C1F362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360" w:lineRule="auto"/>
      <w:jc w:val="center"/>
      <w:outlineLvl w:val="0"/>
    </w:pPr>
    <w:rPr>
      <w:rFonts w:ascii="Times New Roman" w:hAnsi="Times New Roman" w:eastAsia="宋体" w:cs="Times New Roman"/>
      <w:b/>
      <w:bCs/>
      <w:kern w:val="44"/>
      <w:sz w:val="30"/>
      <w:szCs w:val="44"/>
    </w:rPr>
  </w:style>
  <w:style w:type="character" w:default="1" w:styleId="10">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customStyle="1" w:styleId="2">
    <w:name w:val="样式 标题 1 + 四号 加粗"/>
    <w:basedOn w:val="3"/>
    <w:qFormat/>
    <w:uiPriority w:val="0"/>
    <w:rPr>
      <w:rFonts w:eastAsia="黑体"/>
    </w:rPr>
  </w:style>
  <w:style w:type="paragraph" w:styleId="4">
    <w:name w:val="Normal Indent"/>
    <w:basedOn w:val="1"/>
    <w:qFormat/>
    <w:uiPriority w:val="0"/>
    <w:pPr>
      <w:ind w:firstLine="420"/>
    </w:pPr>
    <w:rPr>
      <w:rFonts w:ascii="Times New Roman" w:hAnsi="Times New Roman" w:eastAsia="宋体" w:cs="Times New Roman"/>
      <w:szCs w:val="20"/>
    </w:rPr>
  </w:style>
  <w:style w:type="paragraph" w:styleId="5">
    <w:name w:val="Plain Text"/>
    <w:basedOn w:val="1"/>
    <w:qFormat/>
    <w:uiPriority w:val="0"/>
    <w:rPr>
      <w:rFonts w:ascii="宋体" w:hAnsi="Courier New" w:eastAsia="宋体" w:cs="Times New Roman"/>
      <w:kern w:val="0"/>
      <w:sz w:val="20"/>
      <w:szCs w:val="21"/>
    </w:rPr>
  </w:style>
  <w:style w:type="paragraph" w:styleId="6">
    <w:name w:val="footer"/>
    <w:basedOn w:val="1"/>
    <w:qFormat/>
    <w:uiPriority w:val="0"/>
    <w:pPr>
      <w:tabs>
        <w:tab w:val="center" w:pos="4153"/>
        <w:tab w:val="right" w:pos="8306"/>
      </w:tabs>
      <w:snapToGrid w:val="0"/>
      <w:jc w:val="left"/>
    </w:pPr>
    <w:rPr>
      <w:rFonts w:ascii="Times New Roman" w:hAnsi="Times New Roman" w:eastAsia="宋体" w:cs="Times New Roman"/>
      <w:kern w:val="0"/>
      <w:sz w:val="18"/>
      <w:szCs w:val="20"/>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eastAsia="宋体" w:cs="Times New Roman"/>
      <w:kern w:val="0"/>
      <w:sz w:val="18"/>
      <w:szCs w:val="20"/>
    </w:rPr>
  </w:style>
  <w:style w:type="paragraph" w:styleId="8">
    <w:name w:val="toc 1"/>
    <w:basedOn w:val="1"/>
    <w:next w:val="1"/>
    <w:qFormat/>
    <w:uiPriority w:val="0"/>
    <w:pPr>
      <w:adjustRightInd w:val="0"/>
      <w:snapToGrid w:val="0"/>
    </w:pPr>
    <w:rPr>
      <w:rFonts w:ascii="Times New Roman" w:hAnsi="Times New Roman" w:eastAsia="仿宋" w:cs="Times New Roman"/>
      <w:szCs w:val="24"/>
    </w:rPr>
  </w:style>
  <w:style w:type="paragraph" w:styleId="9">
    <w:name w:val="Title"/>
    <w:basedOn w:val="1"/>
    <w:next w:val="1"/>
    <w:qFormat/>
    <w:uiPriority w:val="0"/>
    <w:pPr>
      <w:spacing w:before="60" w:after="60"/>
      <w:jc w:val="center"/>
      <w:outlineLvl w:val="0"/>
    </w:pPr>
    <w:rPr>
      <w:rFonts w:ascii="Cambria" w:hAnsi="Cambria" w:eastAsia="黑体" w:cs="Times New Roman"/>
      <w:b/>
      <w:bCs/>
      <w:kern w:val="0"/>
      <w:sz w:val="32"/>
      <w:szCs w:val="32"/>
    </w:rPr>
  </w:style>
  <w:style w:type="character" w:styleId="11">
    <w:name w:val="page number"/>
    <w:basedOn w:val="10"/>
    <w:qFormat/>
    <w:uiPriority w:val="0"/>
  </w:style>
  <w:style w:type="paragraph" w:customStyle="1" w:styleId="13">
    <w:name w:val="正文_0"/>
    <w:qFormat/>
    <w:uiPriority w:val="0"/>
    <w:pPr>
      <w:widowControl w:val="0"/>
      <w:jc w:val="both"/>
    </w:pPr>
    <w:rPr>
      <w:rFonts w:ascii="Calibri" w:hAnsi="Calibri" w:eastAsia="宋体" w:cs="Calibri"/>
      <w:kern w:val="2"/>
      <w:sz w:val="21"/>
      <w:szCs w:val="24"/>
      <w:lang w:val="en-US" w:eastAsia="zh-CN" w:bidi="ar-SA"/>
    </w:rPr>
  </w:style>
  <w:style w:type="paragraph" w:customStyle="1" w:styleId="14">
    <w:name w:val="_Style 3"/>
    <w:basedOn w:val="1"/>
    <w:qFormat/>
    <w:uiPriority w:val="0"/>
    <w:pPr>
      <w:ind w:firstLine="420" w:firstLineChars="200"/>
    </w:pPr>
    <w:rPr>
      <w:szCs w:val="20"/>
    </w:rPr>
  </w:style>
  <w:style w:type="paragraph" w:customStyle="1" w:styleId="15">
    <w:name w:val="列出段落1"/>
    <w:basedOn w:val="1"/>
    <w:unhideWhenUsed/>
    <w:qFormat/>
    <w:uiPriority w:val="99"/>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t1jiance</dc:creator>
  <cp:lastModifiedBy>吴淼清</cp:lastModifiedBy>
  <dcterms:modified xsi:type="dcterms:W3CDTF">2023-07-19T08:43:09Z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